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BD92F" w14:textId="77777777" w:rsidR="00D21574" w:rsidRDefault="00457136" w:rsidP="00D21574">
      <w:pPr>
        <w:pStyle w:val="3GPPHeader"/>
        <w:rPr>
          <w:lang w:val="en-US"/>
        </w:rPr>
      </w:pPr>
      <w:bookmarkStart w:id="0" w:name="OLE_LINK1"/>
      <w:bookmarkStart w:id="1" w:name="OLE_LINK2"/>
      <w:r w:rsidRPr="000C5734">
        <w:rPr>
          <w:lang w:val="en-US"/>
        </w:rPr>
        <w:t xml:space="preserve">3GPP TSG RAN WG1 Meeting </w:t>
      </w:r>
      <w:r>
        <w:rPr>
          <w:lang w:val="en-US"/>
        </w:rPr>
        <w:t>#92bis</w:t>
      </w:r>
      <w:r w:rsidRPr="000C5734">
        <w:rPr>
          <w:lang w:val="en-US"/>
        </w:rPr>
        <w:tab/>
      </w:r>
      <w:r w:rsidR="00D21574" w:rsidRPr="00D21574">
        <w:rPr>
          <w:lang w:val="en-US"/>
        </w:rPr>
        <w:t>R1-1805016</w:t>
      </w:r>
    </w:p>
    <w:p w14:paraId="1A23F08C" w14:textId="7CD4FFF2" w:rsidR="00457136" w:rsidRPr="00457136" w:rsidRDefault="00457136" w:rsidP="00D21574">
      <w:pPr>
        <w:pStyle w:val="3GPPHeader"/>
        <w:rPr>
          <w:lang w:val="en-US"/>
        </w:rPr>
      </w:pPr>
      <w:r>
        <w:rPr>
          <w:lang w:val="en-US"/>
        </w:rPr>
        <w:t>Sanya</w:t>
      </w:r>
      <w:r w:rsidRPr="000C5734">
        <w:rPr>
          <w:lang w:val="en-US"/>
        </w:rPr>
        <w:t>,</w:t>
      </w:r>
      <w:r>
        <w:rPr>
          <w:lang w:val="en-US"/>
        </w:rPr>
        <w:t xml:space="preserve"> China,</w:t>
      </w:r>
      <w:r w:rsidRPr="000C5734">
        <w:rPr>
          <w:lang w:val="en-US"/>
        </w:rPr>
        <w:t xml:space="preserve"> </w:t>
      </w:r>
      <w:r>
        <w:rPr>
          <w:lang w:val="en-US"/>
        </w:rPr>
        <w:t>16</w:t>
      </w:r>
      <w:r w:rsidRPr="00E90812">
        <w:rPr>
          <w:vertAlign w:val="superscript"/>
          <w:lang w:val="en-US"/>
        </w:rPr>
        <w:t>th</w:t>
      </w:r>
      <w:r>
        <w:rPr>
          <w:lang w:val="en-US"/>
        </w:rPr>
        <w:t xml:space="preserve"> – 20</w:t>
      </w:r>
      <w:r w:rsidRPr="0054355F">
        <w:rPr>
          <w:vertAlign w:val="superscript"/>
          <w:lang w:val="en-US"/>
        </w:rPr>
        <w:t>th</w:t>
      </w:r>
      <w:r>
        <w:rPr>
          <w:lang w:val="en-US"/>
        </w:rPr>
        <w:t xml:space="preserve"> April,</w:t>
      </w:r>
      <w:r w:rsidRPr="000C5734">
        <w:rPr>
          <w:lang w:val="en-US"/>
        </w:rPr>
        <w:t xml:space="preserve"> 2018</w:t>
      </w:r>
    </w:p>
    <w:p w14:paraId="6FCFE779" w14:textId="77777777" w:rsidR="00457136" w:rsidRPr="002C7218" w:rsidRDefault="00457136" w:rsidP="00457136">
      <w:pPr>
        <w:pStyle w:val="3GPPHeader"/>
        <w:rPr>
          <w:sz w:val="22"/>
          <w:szCs w:val="22"/>
        </w:rPr>
      </w:pPr>
      <w:r w:rsidRPr="002C7218">
        <w:rPr>
          <w:sz w:val="22"/>
          <w:szCs w:val="22"/>
        </w:rPr>
        <w:t>Agenda Item:</w:t>
      </w:r>
      <w:r w:rsidRPr="002C7218">
        <w:rPr>
          <w:sz w:val="22"/>
          <w:szCs w:val="22"/>
        </w:rPr>
        <w:tab/>
        <w:t>7.6.5 Others</w:t>
      </w:r>
      <w:bookmarkStart w:id="2" w:name="_GoBack"/>
      <w:bookmarkEnd w:id="2"/>
    </w:p>
    <w:p w14:paraId="185DF399" w14:textId="77777777" w:rsidR="004549CC" w:rsidRPr="00485E17" w:rsidRDefault="004549CC" w:rsidP="000E65E8">
      <w:pPr>
        <w:pStyle w:val="TdocHeader2"/>
        <w:rPr>
          <w:sz w:val="22"/>
        </w:rPr>
      </w:pPr>
    </w:p>
    <w:p w14:paraId="6757062D" w14:textId="77777777" w:rsidR="004549CC" w:rsidRPr="004932C9" w:rsidRDefault="004549CC" w:rsidP="000E65E8">
      <w:pPr>
        <w:pStyle w:val="TdocHeader2"/>
        <w:rPr>
          <w:sz w:val="20"/>
          <w:lang w:val="en-US"/>
        </w:rPr>
      </w:pPr>
      <w:r w:rsidRPr="004932C9">
        <w:rPr>
          <w:sz w:val="20"/>
          <w:lang w:val="en-US"/>
        </w:rPr>
        <w:t xml:space="preserve">Source: </w:t>
      </w:r>
      <w:r w:rsidRPr="004932C9">
        <w:rPr>
          <w:sz w:val="20"/>
          <w:lang w:val="en-US"/>
        </w:rPr>
        <w:tab/>
        <w:t>Ericsson</w:t>
      </w:r>
    </w:p>
    <w:p w14:paraId="1094E523" w14:textId="77777777" w:rsidR="004549CC" w:rsidRPr="004932C9" w:rsidRDefault="004549CC" w:rsidP="000E65E8">
      <w:pPr>
        <w:pStyle w:val="TdocHeader2"/>
        <w:rPr>
          <w:sz w:val="20"/>
          <w:lang w:val="en-US"/>
        </w:rPr>
      </w:pPr>
      <w:r w:rsidRPr="004932C9">
        <w:rPr>
          <w:sz w:val="20"/>
          <w:lang w:val="en-US"/>
        </w:rPr>
        <w:t>Title:</w:t>
      </w:r>
      <w:bookmarkStart w:id="3" w:name="Title"/>
      <w:bookmarkEnd w:id="3"/>
      <w:r w:rsidR="0024218B" w:rsidRPr="004932C9">
        <w:rPr>
          <w:sz w:val="20"/>
          <w:lang w:val="en-US"/>
        </w:rPr>
        <w:tab/>
        <w:t>On Autonomous UL Transmissions for NR in Unlicensed S</w:t>
      </w:r>
      <w:r w:rsidRPr="004932C9">
        <w:rPr>
          <w:sz w:val="20"/>
          <w:lang w:val="en-US"/>
        </w:rPr>
        <w:t>pectrum</w:t>
      </w:r>
    </w:p>
    <w:p w14:paraId="665E6D67" w14:textId="54AE57E8" w:rsidR="004549CC" w:rsidRPr="00746AAD" w:rsidRDefault="004549CC" w:rsidP="000E65E8">
      <w:pPr>
        <w:pStyle w:val="TdocHeader2"/>
        <w:rPr>
          <w:sz w:val="20"/>
          <w:lang w:val="en-US"/>
        </w:rPr>
      </w:pPr>
      <w:r w:rsidRPr="00746AAD">
        <w:rPr>
          <w:sz w:val="20"/>
          <w:lang w:val="en-US"/>
        </w:rPr>
        <w:t>Document for:</w:t>
      </w:r>
      <w:r w:rsidRPr="00746AAD">
        <w:rPr>
          <w:sz w:val="20"/>
          <w:lang w:val="en-US"/>
        </w:rPr>
        <w:tab/>
        <w:t xml:space="preserve">Discussion and </w:t>
      </w:r>
      <w:r w:rsidR="008900F2">
        <w:rPr>
          <w:sz w:val="20"/>
          <w:lang w:val="en-US"/>
        </w:rPr>
        <w:t>Conclusion</w:t>
      </w:r>
    </w:p>
    <w:p w14:paraId="4F97FE48" w14:textId="77777777" w:rsidR="004549CC" w:rsidRDefault="004549CC" w:rsidP="000E65E8">
      <w:pPr>
        <w:pStyle w:val="Heading1"/>
        <w:keepLines/>
        <w:pBdr>
          <w:top w:val="single" w:sz="12" w:space="0" w:color="auto"/>
        </w:pBdr>
        <w:tabs>
          <w:tab w:val="num" w:pos="432"/>
        </w:tabs>
        <w:overflowPunct w:val="0"/>
        <w:autoSpaceDE w:val="0"/>
        <w:autoSpaceDN w:val="0"/>
        <w:adjustRightInd w:val="0"/>
        <w:spacing w:after="180"/>
        <w:jc w:val="both"/>
        <w:textAlignment w:val="baseline"/>
      </w:pPr>
      <w:bookmarkStart w:id="4" w:name="_Ref298777854"/>
      <w:bookmarkEnd w:id="0"/>
      <w:bookmarkEnd w:id="1"/>
      <w:r w:rsidRPr="00310B2F">
        <w:t>Introduction</w:t>
      </w:r>
      <w:bookmarkEnd w:id="4"/>
    </w:p>
    <w:p w14:paraId="1502DF49" w14:textId="12EA1DE7" w:rsidR="004549CC" w:rsidRDefault="004549CC" w:rsidP="000E65E8">
      <w:pPr>
        <w:pStyle w:val="BodyText"/>
      </w:pPr>
      <w:r>
        <w:t>For unlicensed spectrum in particular low latency between packet interactions can be of high importance to reduce the need for time-consuming LBT procedures.</w:t>
      </w:r>
      <w:r w:rsidR="000E65E8">
        <w:t xml:space="preserve"> In this contribution we </w:t>
      </w:r>
      <w:r w:rsidR="008900F2">
        <w:t xml:space="preserve">discuss the limitations of scheduled UL on unlicensed bands and </w:t>
      </w:r>
      <w:r w:rsidR="000E65E8">
        <w:t>provide our view on supporting autonomous UL</w:t>
      </w:r>
      <w:r w:rsidR="008900F2">
        <w:t xml:space="preserve"> (AUL)</w:t>
      </w:r>
      <w:r w:rsidR="000E65E8">
        <w:t xml:space="preserve"> for NR-U. </w:t>
      </w:r>
      <w:r>
        <w:t xml:space="preserve"> </w:t>
      </w:r>
    </w:p>
    <w:p w14:paraId="16CCFFFE" w14:textId="73F4EC10" w:rsidR="004F6155" w:rsidRPr="008900F2" w:rsidRDefault="004549CC" w:rsidP="008900F2">
      <w:pPr>
        <w:pStyle w:val="Heading1"/>
        <w:keepLines/>
        <w:pBdr>
          <w:top w:val="single" w:sz="12" w:space="3" w:color="auto"/>
        </w:pBdr>
        <w:tabs>
          <w:tab w:val="num" w:pos="432"/>
        </w:tabs>
        <w:overflowPunct w:val="0"/>
        <w:autoSpaceDE w:val="0"/>
        <w:autoSpaceDN w:val="0"/>
        <w:adjustRightInd w:val="0"/>
        <w:spacing w:after="180"/>
        <w:jc w:val="both"/>
        <w:textAlignment w:val="baseline"/>
      </w:pPr>
      <w:r>
        <w:t>Discussion</w:t>
      </w:r>
    </w:p>
    <w:p w14:paraId="57C104F8" w14:textId="0C77E86A" w:rsidR="004F6155" w:rsidRDefault="004F6155" w:rsidP="000E65E8">
      <w:pPr>
        <w:pStyle w:val="BodyText"/>
        <w:rPr>
          <w:szCs w:val="22"/>
        </w:rPr>
      </w:pPr>
      <w:r>
        <w:rPr>
          <w:szCs w:val="22"/>
        </w:rPr>
        <w:t xml:space="preserve">For unlicensed spectrum that uses LBT as the sharing mechanism, the physical control signal transmissions not only generate overhead, but also may require more LBT and/or new LBT </w:t>
      </w:r>
      <w:r w:rsidR="008900F2">
        <w:rPr>
          <w:szCs w:val="22"/>
        </w:rPr>
        <w:t>mechanisms when</w:t>
      </w:r>
      <w:r>
        <w:rPr>
          <w:szCs w:val="22"/>
        </w:rPr>
        <w:t xml:space="preserve"> the transmitter role is switched between the radio connection peers. Taking scheduled uplink data transmission as one example, when the UE has data to transmit, the UE shall send SR to the serving gNB using the channel acquired by means of LBT. Secondly, when the serving gNB receives the SR from the UE and determines to allocate UL grant to the UE, the eNB shall acquire the channel again by means of LBT. Thirdly, when the UE receives the UL grant, the UE may need to acquire the channel again for UL data transmission by means of LBT again. Lastly, the gNB may need to acquire the channel again to transmit the HARQ A/N for the UE by mean of LBT again. </w:t>
      </w:r>
      <w:r w:rsidR="00B82625">
        <w:rPr>
          <w:szCs w:val="22"/>
        </w:rPr>
        <w:t>Multiple LBTs within one data transmission procedure would result in inefficiency in terms of: First, potentially leaving the channel unused, Second, increased overhead for sending grants on unlicensed channel. Third, increased delay to get data packets transferred over the uplink. As a result, Multiple LBTs reduce the actual competitiveness to contend for the channe</w:t>
      </w:r>
      <w:r w:rsidR="00D6599C">
        <w:rPr>
          <w:szCs w:val="22"/>
        </w:rPr>
        <w:t>l</w:t>
      </w:r>
      <w:r w:rsidR="00B82625">
        <w:rPr>
          <w:szCs w:val="22"/>
        </w:rPr>
        <w:t xml:space="preserve"> </w:t>
      </w:r>
      <w:r>
        <w:rPr>
          <w:szCs w:val="22"/>
        </w:rPr>
        <w:t>and frequent transmitter-receiver switch increase the UL-DL switch overhead.</w:t>
      </w:r>
    </w:p>
    <w:p w14:paraId="74120687" w14:textId="7C737E97" w:rsidR="00D6599C" w:rsidRDefault="00D6599C" w:rsidP="000E65E8">
      <w:pPr>
        <w:autoSpaceDE w:val="0"/>
        <w:autoSpaceDN w:val="0"/>
        <w:adjustRightInd w:val="0"/>
        <w:jc w:val="both"/>
        <w:rPr>
          <w:b/>
          <w:bCs/>
          <w:sz w:val="22"/>
          <w:szCs w:val="22"/>
        </w:rPr>
      </w:pPr>
      <w:r>
        <w:rPr>
          <w:b/>
          <w:bCs/>
          <w:sz w:val="22"/>
          <w:szCs w:val="22"/>
        </w:rPr>
        <w:t>Observation 1: UL latency can be lower by reducing the control signaling related to scheduling that precede every UL transmission.</w:t>
      </w:r>
    </w:p>
    <w:p w14:paraId="75CC58D2" w14:textId="77777777" w:rsidR="00D6599C" w:rsidRPr="00D6599C" w:rsidRDefault="00D6599C" w:rsidP="000E65E8">
      <w:pPr>
        <w:autoSpaceDE w:val="0"/>
        <w:autoSpaceDN w:val="0"/>
        <w:adjustRightInd w:val="0"/>
        <w:jc w:val="both"/>
        <w:rPr>
          <w:b/>
          <w:bCs/>
          <w:sz w:val="22"/>
          <w:szCs w:val="22"/>
        </w:rPr>
      </w:pPr>
    </w:p>
    <w:p w14:paraId="69742F68" w14:textId="70D690DD" w:rsidR="00A0776B" w:rsidRDefault="00B82625" w:rsidP="000E65E8">
      <w:pPr>
        <w:pStyle w:val="BodyText"/>
        <w:rPr>
          <w:szCs w:val="22"/>
        </w:rPr>
      </w:pPr>
      <w:r>
        <w:rPr>
          <w:szCs w:val="22"/>
        </w:rPr>
        <w:t>In some scenarios</w:t>
      </w:r>
      <w:r w:rsidR="004C6B90">
        <w:rPr>
          <w:szCs w:val="22"/>
        </w:rPr>
        <w:t>,</w:t>
      </w:r>
      <w:r>
        <w:rPr>
          <w:szCs w:val="22"/>
        </w:rPr>
        <w:t xml:space="preserve"> latency can be reduced if a data message can be sent on the semi-persistently allocated resource</w:t>
      </w:r>
      <w:r w:rsidR="00A0776B">
        <w:rPr>
          <w:szCs w:val="22"/>
        </w:rPr>
        <w:t xml:space="preserve">. NR provides the option to preconfigure resources in a semi static manner. With semi-persistent scheduling for UL, the UE is configured to transmit on pre-allocated resources. </w:t>
      </w:r>
      <w:r w:rsidR="00B67857">
        <w:rPr>
          <w:szCs w:val="22"/>
        </w:rPr>
        <w:t>W</w:t>
      </w:r>
      <w:r w:rsidR="00A0776B">
        <w:rPr>
          <w:szCs w:val="22"/>
        </w:rPr>
        <w:t>hen UL data arrives, the UE can start transmission immediately according to the configured resources without the need to send an SR or waiting for the grant.</w:t>
      </w:r>
    </w:p>
    <w:p w14:paraId="62B2611A" w14:textId="2CA487F7" w:rsidR="00A0776B" w:rsidRDefault="00A0776B" w:rsidP="000E65E8">
      <w:pPr>
        <w:autoSpaceDE w:val="0"/>
        <w:autoSpaceDN w:val="0"/>
        <w:adjustRightInd w:val="0"/>
        <w:jc w:val="both"/>
        <w:rPr>
          <w:b/>
          <w:bCs/>
          <w:sz w:val="22"/>
          <w:szCs w:val="22"/>
        </w:rPr>
      </w:pPr>
      <w:r>
        <w:rPr>
          <w:b/>
          <w:bCs/>
          <w:sz w:val="22"/>
          <w:szCs w:val="22"/>
        </w:rPr>
        <w:t xml:space="preserve">Proposal 1: It is beneficial to support autonomous </w:t>
      </w:r>
      <w:r w:rsidR="00171E36">
        <w:rPr>
          <w:b/>
          <w:bCs/>
          <w:sz w:val="22"/>
          <w:szCs w:val="22"/>
        </w:rPr>
        <w:t xml:space="preserve">uplink </w:t>
      </w:r>
      <w:r>
        <w:rPr>
          <w:b/>
          <w:bCs/>
          <w:sz w:val="22"/>
          <w:szCs w:val="22"/>
        </w:rPr>
        <w:t>data transmissions on pre-allocated resources on NR-U Cells to reduce signaling overhead and latency.</w:t>
      </w:r>
    </w:p>
    <w:p w14:paraId="4734799A" w14:textId="46DB7D42" w:rsidR="00A0776B" w:rsidRDefault="00A0776B" w:rsidP="000E65E8">
      <w:pPr>
        <w:autoSpaceDE w:val="0"/>
        <w:autoSpaceDN w:val="0"/>
        <w:adjustRightInd w:val="0"/>
        <w:jc w:val="both"/>
        <w:rPr>
          <w:b/>
          <w:bCs/>
          <w:sz w:val="22"/>
          <w:szCs w:val="22"/>
        </w:rPr>
      </w:pPr>
    </w:p>
    <w:p w14:paraId="6D612F5B" w14:textId="190B0D26" w:rsidR="00A0776B" w:rsidRDefault="00A0776B" w:rsidP="000E65E8">
      <w:pPr>
        <w:autoSpaceDE w:val="0"/>
        <w:autoSpaceDN w:val="0"/>
        <w:adjustRightInd w:val="0"/>
        <w:jc w:val="both"/>
        <w:rPr>
          <w:sz w:val="22"/>
          <w:szCs w:val="22"/>
        </w:rPr>
      </w:pPr>
      <w:r>
        <w:rPr>
          <w:sz w:val="22"/>
          <w:szCs w:val="22"/>
        </w:rPr>
        <w:t xml:space="preserve">NR supports two </w:t>
      </w:r>
      <w:r w:rsidR="002C26EA">
        <w:rPr>
          <w:sz w:val="22"/>
          <w:szCs w:val="22"/>
        </w:rPr>
        <w:t>t</w:t>
      </w:r>
      <w:r>
        <w:rPr>
          <w:sz w:val="22"/>
          <w:szCs w:val="22"/>
        </w:rPr>
        <w:t xml:space="preserve">ypes of pre-configured resources. Both of which are </w:t>
      </w:r>
      <w:r w:rsidR="00D6599C">
        <w:rPr>
          <w:sz w:val="22"/>
          <w:szCs w:val="22"/>
        </w:rPr>
        <w:t>different flavors of existing</w:t>
      </w:r>
      <w:r>
        <w:rPr>
          <w:sz w:val="22"/>
          <w:szCs w:val="22"/>
        </w:rPr>
        <w:t xml:space="preserve"> </w:t>
      </w:r>
      <w:r w:rsidR="00E43989">
        <w:rPr>
          <w:sz w:val="22"/>
          <w:szCs w:val="22"/>
        </w:rPr>
        <w:t xml:space="preserve">LTE semi-persistent scheduling with some further aspects such as supporting repetitions for a TB. </w:t>
      </w:r>
    </w:p>
    <w:p w14:paraId="2D7CA912" w14:textId="0870767F" w:rsidR="00A0776B" w:rsidRDefault="00A0776B" w:rsidP="000E65E8">
      <w:pPr>
        <w:autoSpaceDE w:val="0"/>
        <w:autoSpaceDN w:val="0"/>
        <w:adjustRightInd w:val="0"/>
        <w:jc w:val="both"/>
        <w:rPr>
          <w:sz w:val="22"/>
          <w:szCs w:val="22"/>
        </w:rPr>
      </w:pPr>
    </w:p>
    <w:p w14:paraId="2416C7FF" w14:textId="31E5EBD2" w:rsidR="00A0776B" w:rsidRPr="00D6599C" w:rsidRDefault="00A0776B" w:rsidP="000E65E8">
      <w:pPr>
        <w:pStyle w:val="ListParagraph"/>
        <w:numPr>
          <w:ilvl w:val="0"/>
          <w:numId w:val="45"/>
        </w:numPr>
        <w:autoSpaceDE w:val="0"/>
        <w:autoSpaceDN w:val="0"/>
        <w:adjustRightInd w:val="0"/>
        <w:jc w:val="both"/>
        <w:rPr>
          <w:rFonts w:asciiTheme="majorBidi" w:hAnsiTheme="majorBidi" w:cstheme="majorBidi"/>
        </w:rPr>
      </w:pPr>
      <w:r w:rsidRPr="00D6599C">
        <w:rPr>
          <w:rFonts w:asciiTheme="majorBidi" w:hAnsiTheme="majorBidi" w:cstheme="majorBidi"/>
        </w:rPr>
        <w:t xml:space="preserve">Type 1, </w:t>
      </w:r>
      <w:r w:rsidRPr="00D6599C">
        <w:rPr>
          <w:rFonts w:asciiTheme="majorBidi" w:eastAsia="Times New Roman" w:hAnsiTheme="majorBidi" w:cstheme="majorBidi"/>
        </w:rPr>
        <w:t>UL data transmission with configured grant is only based on RRC (re)configu</w:t>
      </w:r>
      <w:r w:rsidRPr="00D6599C">
        <w:rPr>
          <w:rFonts w:asciiTheme="majorBidi" w:hAnsiTheme="majorBidi" w:cstheme="majorBidi"/>
        </w:rPr>
        <w:t xml:space="preserve">ration without any L1 signaling. </w:t>
      </w:r>
    </w:p>
    <w:p w14:paraId="504F15FB" w14:textId="77777777" w:rsidR="00A0776B" w:rsidRPr="00D6599C" w:rsidRDefault="00A0776B" w:rsidP="000E65E8">
      <w:pPr>
        <w:autoSpaceDE w:val="0"/>
        <w:autoSpaceDN w:val="0"/>
        <w:adjustRightInd w:val="0"/>
        <w:ind w:left="360"/>
        <w:jc w:val="both"/>
        <w:rPr>
          <w:rFonts w:asciiTheme="majorBidi" w:hAnsiTheme="majorBidi" w:cstheme="majorBidi"/>
        </w:rPr>
      </w:pPr>
    </w:p>
    <w:p w14:paraId="4CBF613F" w14:textId="05651EB7" w:rsidR="002C26EA" w:rsidRDefault="00A0776B" w:rsidP="000E65E8">
      <w:pPr>
        <w:pStyle w:val="ListParagraph"/>
        <w:numPr>
          <w:ilvl w:val="0"/>
          <w:numId w:val="45"/>
        </w:numPr>
        <w:autoSpaceDE w:val="0"/>
        <w:autoSpaceDN w:val="0"/>
        <w:adjustRightInd w:val="0"/>
        <w:jc w:val="both"/>
        <w:rPr>
          <w:rFonts w:asciiTheme="majorBidi" w:hAnsiTheme="majorBidi" w:cstheme="majorBidi"/>
        </w:rPr>
      </w:pPr>
      <w:r w:rsidRPr="00D6599C">
        <w:rPr>
          <w:rFonts w:asciiTheme="majorBidi" w:hAnsiTheme="majorBidi" w:cstheme="majorBidi"/>
        </w:rPr>
        <w:t xml:space="preserve">Type 2 is very similar to LTE SPS feature. </w:t>
      </w:r>
      <w:r w:rsidRPr="00D6599C">
        <w:rPr>
          <w:rFonts w:asciiTheme="majorBidi" w:eastAsia="Times New Roman" w:hAnsiTheme="majorBidi" w:cstheme="majorBidi"/>
        </w:rPr>
        <w:t>UL data transmission with configured grant is based on both RRC configuration and L1 signaling for activation/deactivation of the grant</w:t>
      </w:r>
      <w:r w:rsidRPr="00D6599C">
        <w:rPr>
          <w:rFonts w:asciiTheme="majorBidi" w:hAnsiTheme="majorBidi" w:cstheme="majorBidi"/>
        </w:rPr>
        <w:t xml:space="preserve">. The </w:t>
      </w:r>
      <w:r w:rsidR="000E65E8">
        <w:rPr>
          <w:rFonts w:asciiTheme="majorBidi" w:hAnsiTheme="majorBidi" w:cstheme="majorBidi"/>
        </w:rPr>
        <w:t>g</w:t>
      </w:r>
      <w:r w:rsidRPr="00D6599C">
        <w:rPr>
          <w:rFonts w:asciiTheme="majorBidi" w:hAnsiTheme="majorBidi" w:cstheme="majorBidi"/>
        </w:rPr>
        <w:t>NB needs to explicitly activate the configure</w:t>
      </w:r>
      <w:r w:rsidR="000E65E8">
        <w:rPr>
          <w:rFonts w:asciiTheme="majorBidi" w:hAnsiTheme="majorBidi" w:cstheme="majorBidi"/>
        </w:rPr>
        <w:t xml:space="preserve">d resources on PDCCH and the </w:t>
      </w:r>
      <w:r w:rsidRPr="00D6599C">
        <w:rPr>
          <w:rFonts w:asciiTheme="majorBidi" w:hAnsiTheme="majorBidi" w:cstheme="majorBidi"/>
        </w:rPr>
        <w:t>UE confirms the reception of the activation/deactivation grant with a MAC control element.</w:t>
      </w:r>
    </w:p>
    <w:p w14:paraId="314046BE" w14:textId="77777777" w:rsidR="002C26EA" w:rsidRDefault="002C26EA" w:rsidP="000E65E8">
      <w:pPr>
        <w:ind w:left="360"/>
        <w:jc w:val="both"/>
      </w:pPr>
    </w:p>
    <w:p w14:paraId="2ED5E73A" w14:textId="2931DA55" w:rsidR="00E43989" w:rsidRDefault="00E43989" w:rsidP="00D41FC4">
      <w:pPr>
        <w:pStyle w:val="BodyText"/>
        <w:rPr>
          <w:szCs w:val="22"/>
        </w:rPr>
      </w:pPr>
      <w:r w:rsidRPr="008900F2">
        <w:rPr>
          <w:szCs w:val="22"/>
        </w:rPr>
        <w:lastRenderedPageBreak/>
        <w:t>F</w:t>
      </w:r>
      <w:r w:rsidR="002C26EA" w:rsidRPr="008900F2">
        <w:rPr>
          <w:szCs w:val="22"/>
        </w:rPr>
        <w:t xml:space="preserve">or </w:t>
      </w:r>
      <w:r w:rsidRPr="008900F2">
        <w:rPr>
          <w:szCs w:val="22"/>
        </w:rPr>
        <w:t xml:space="preserve">LTE, the existing SPS feature was the baseline for designing </w:t>
      </w:r>
      <w:r w:rsidR="008900F2">
        <w:rPr>
          <w:szCs w:val="22"/>
        </w:rPr>
        <w:t>AUL</w:t>
      </w:r>
      <w:r w:rsidRPr="008900F2">
        <w:rPr>
          <w:szCs w:val="22"/>
        </w:rPr>
        <w:t xml:space="preserve"> operation on LAA sCells. Similarly, for NR-U, </w:t>
      </w:r>
      <w:r w:rsidR="002C26EA" w:rsidRPr="008900F2">
        <w:rPr>
          <w:szCs w:val="22"/>
        </w:rPr>
        <w:t>the existing schemes (type 1 and 2)</w:t>
      </w:r>
      <w:r w:rsidRPr="008900F2">
        <w:rPr>
          <w:szCs w:val="22"/>
        </w:rPr>
        <w:t xml:space="preserve"> can serve as a baseline to achieve </w:t>
      </w:r>
      <w:r w:rsidR="008900F2">
        <w:rPr>
          <w:szCs w:val="22"/>
        </w:rPr>
        <w:t>AUL</w:t>
      </w:r>
      <w:r w:rsidRPr="008900F2">
        <w:rPr>
          <w:szCs w:val="22"/>
        </w:rPr>
        <w:t xml:space="preserve"> operation for NR-U. Nevertheless, some adjustments are needed to provide efficient operation on unlicensed bands.</w:t>
      </w:r>
      <w:r w:rsidR="001F26EA" w:rsidRPr="008900F2">
        <w:rPr>
          <w:szCs w:val="22"/>
        </w:rPr>
        <w:t xml:space="preserve"> F</w:t>
      </w:r>
      <w:r w:rsidRPr="008900F2">
        <w:rPr>
          <w:szCs w:val="22"/>
        </w:rPr>
        <w:t>or instance, i</w:t>
      </w:r>
      <w:r w:rsidR="002C26EA" w:rsidRPr="008900F2">
        <w:rPr>
          <w:szCs w:val="22"/>
        </w:rPr>
        <w:t xml:space="preserve">n </w:t>
      </w:r>
      <w:r w:rsidR="008900F2">
        <w:rPr>
          <w:szCs w:val="22"/>
        </w:rPr>
        <w:t xml:space="preserve">NR, </w:t>
      </w:r>
      <w:r w:rsidR="002C26EA" w:rsidRPr="008900F2">
        <w:rPr>
          <w:szCs w:val="22"/>
        </w:rPr>
        <w:t>HARQ ID corresponding to a transmiss</w:t>
      </w:r>
      <w:r w:rsidR="008900F2">
        <w:rPr>
          <w:szCs w:val="22"/>
        </w:rPr>
        <w:t>ion on a preconfigured resource</w:t>
      </w:r>
      <w:r w:rsidRPr="008900F2">
        <w:rPr>
          <w:szCs w:val="22"/>
        </w:rPr>
        <w:t xml:space="preserve"> is derived from a formula similar to LTE SPS, i.e. the HARQ process ID is determined based on the resources that is used for transmission</w:t>
      </w:r>
      <w:r w:rsidR="002C26EA" w:rsidRPr="008900F2">
        <w:rPr>
          <w:szCs w:val="22"/>
        </w:rPr>
        <w:t>.</w:t>
      </w:r>
      <w:r w:rsidR="008900F2" w:rsidRPr="008900F2">
        <w:rPr>
          <w:szCs w:val="22"/>
        </w:rPr>
        <w:t xml:space="preserve"> T</w:t>
      </w:r>
      <w:r w:rsidR="000E65E8" w:rsidRPr="008900F2">
        <w:rPr>
          <w:szCs w:val="22"/>
        </w:rPr>
        <w:t xml:space="preserve">his synchronous behavior </w:t>
      </w:r>
      <w:r w:rsidR="008900F2" w:rsidRPr="008900F2">
        <w:rPr>
          <w:szCs w:val="22"/>
        </w:rPr>
        <w:t xml:space="preserve">may impose large delays </w:t>
      </w:r>
      <w:r w:rsidRPr="008900F2">
        <w:rPr>
          <w:szCs w:val="22"/>
        </w:rPr>
        <w:t>due to the uncertainty of channel availability</w:t>
      </w:r>
      <w:r w:rsidR="008900F2" w:rsidRPr="008900F2">
        <w:rPr>
          <w:szCs w:val="22"/>
        </w:rPr>
        <w:t xml:space="preserve"> </w:t>
      </w:r>
      <w:r w:rsidR="008900F2">
        <w:rPr>
          <w:szCs w:val="22"/>
        </w:rPr>
        <w:t xml:space="preserve">on unlicensed bands </w:t>
      </w:r>
      <w:r w:rsidR="008900F2" w:rsidRPr="008900F2">
        <w:rPr>
          <w:szCs w:val="22"/>
        </w:rPr>
        <w:t>and therefore inefficient for unlicensed channel operation</w:t>
      </w:r>
      <w:r w:rsidRPr="008900F2">
        <w:rPr>
          <w:szCs w:val="22"/>
        </w:rPr>
        <w:t xml:space="preserve">. </w:t>
      </w:r>
      <w:r w:rsidR="008900F2" w:rsidRPr="008900F2">
        <w:rPr>
          <w:szCs w:val="22"/>
        </w:rPr>
        <w:t>The same issue was discussed during the feLAA WI</w:t>
      </w:r>
      <w:r w:rsidR="000E65E8" w:rsidRPr="008900F2">
        <w:rPr>
          <w:szCs w:val="22"/>
        </w:rPr>
        <w:t>,</w:t>
      </w:r>
      <w:r w:rsidR="008900F2" w:rsidRPr="008900F2">
        <w:rPr>
          <w:szCs w:val="22"/>
        </w:rPr>
        <w:t xml:space="preserve"> and to resolve it, a</w:t>
      </w:r>
      <w:r w:rsidR="000E65E8" w:rsidRPr="008900F2">
        <w:rPr>
          <w:szCs w:val="22"/>
        </w:rPr>
        <w:t xml:space="preserve"> new uplink control information (UCI) was introduced to enable fully asynchronous HARQ for LAA </w:t>
      </w:r>
      <w:r w:rsidR="008900F2">
        <w:rPr>
          <w:szCs w:val="22"/>
        </w:rPr>
        <w:t>A</w:t>
      </w:r>
      <w:r w:rsidR="000E65E8" w:rsidRPr="008900F2">
        <w:rPr>
          <w:szCs w:val="22"/>
        </w:rPr>
        <w:t>UL</w:t>
      </w:r>
      <w:r w:rsidR="006C5D0F">
        <w:rPr>
          <w:szCs w:val="22"/>
        </w:rPr>
        <w:t xml:space="preserve"> [1]</w:t>
      </w:r>
      <w:r w:rsidR="000E65E8" w:rsidRPr="008900F2">
        <w:rPr>
          <w:szCs w:val="22"/>
        </w:rPr>
        <w:t xml:space="preserve">. For every AUL transmission, the UE selects HARQ, RV, and NDI and </w:t>
      </w:r>
      <w:r w:rsidR="008900F2" w:rsidRPr="008900F2">
        <w:rPr>
          <w:szCs w:val="22"/>
        </w:rPr>
        <w:t>report it</w:t>
      </w:r>
      <w:r w:rsidR="000E65E8" w:rsidRPr="008900F2">
        <w:rPr>
          <w:szCs w:val="22"/>
        </w:rPr>
        <w:t xml:space="preserve"> on</w:t>
      </w:r>
      <w:r w:rsidR="008900F2" w:rsidRPr="008900F2">
        <w:rPr>
          <w:szCs w:val="22"/>
        </w:rPr>
        <w:t xml:space="preserve"> the new AUL</w:t>
      </w:r>
      <w:r w:rsidR="000E65E8" w:rsidRPr="008900F2">
        <w:rPr>
          <w:szCs w:val="22"/>
        </w:rPr>
        <w:t xml:space="preserve"> UCI.  </w:t>
      </w:r>
      <w:r w:rsidR="008900F2" w:rsidRPr="008900F2">
        <w:rPr>
          <w:szCs w:val="22"/>
        </w:rPr>
        <w:t xml:space="preserve">Similar approach should be </w:t>
      </w:r>
      <w:r w:rsidR="008900F2">
        <w:rPr>
          <w:szCs w:val="22"/>
        </w:rPr>
        <w:t xml:space="preserve">considered </w:t>
      </w:r>
      <w:r w:rsidR="008900F2" w:rsidRPr="008900F2">
        <w:rPr>
          <w:szCs w:val="22"/>
        </w:rPr>
        <w:t>for NR-U</w:t>
      </w:r>
      <w:r w:rsidR="008900F2">
        <w:rPr>
          <w:szCs w:val="22"/>
        </w:rPr>
        <w:t xml:space="preserve"> AUL</w:t>
      </w:r>
      <w:r w:rsidR="004C6B90">
        <w:rPr>
          <w:szCs w:val="22"/>
        </w:rPr>
        <w:t>.</w:t>
      </w:r>
    </w:p>
    <w:p w14:paraId="2857DDA5" w14:textId="05D9C17D" w:rsidR="00D41FC4" w:rsidRPr="00D41FC4" w:rsidRDefault="00D41FC4" w:rsidP="00D41FC4">
      <w:pPr>
        <w:jc w:val="both"/>
        <w:rPr>
          <w:rFonts w:eastAsia="MS Mincho"/>
          <w:sz w:val="22"/>
          <w:szCs w:val="22"/>
        </w:rPr>
      </w:pPr>
      <w:r w:rsidRPr="00D41FC4">
        <w:rPr>
          <w:rFonts w:eastAsia="MS Mincho"/>
          <w:sz w:val="22"/>
          <w:szCs w:val="22"/>
        </w:rPr>
        <w:t xml:space="preserve">NR, similar to eLAA </w:t>
      </w:r>
      <w:r>
        <w:rPr>
          <w:rFonts w:eastAsia="MS Mincho"/>
          <w:sz w:val="22"/>
          <w:szCs w:val="22"/>
        </w:rPr>
        <w:t>R</w:t>
      </w:r>
      <w:r w:rsidRPr="00D41FC4">
        <w:rPr>
          <w:rFonts w:eastAsia="MS Mincho"/>
          <w:sz w:val="22"/>
          <w:szCs w:val="22"/>
        </w:rPr>
        <w:t>el-14, does not support non-adaptive HARQ operation. This means, any uplink retransmission is scheduled through UL grant through PDCCH. To reduce the signaling overhead on unlicensed operation</w:t>
      </w:r>
      <w:r>
        <w:rPr>
          <w:rFonts w:eastAsia="MS Mincho"/>
          <w:sz w:val="22"/>
          <w:szCs w:val="22"/>
        </w:rPr>
        <w:t xml:space="preserve"> for F</w:t>
      </w:r>
      <w:r w:rsidRPr="00D41FC4">
        <w:rPr>
          <w:rFonts w:eastAsia="MS Mincho"/>
          <w:sz w:val="22"/>
          <w:szCs w:val="22"/>
        </w:rPr>
        <w:t xml:space="preserve">eLAA </w:t>
      </w:r>
      <w:r>
        <w:rPr>
          <w:rFonts w:eastAsia="MS Mincho"/>
          <w:sz w:val="22"/>
          <w:szCs w:val="22"/>
        </w:rPr>
        <w:t>R</w:t>
      </w:r>
      <w:r w:rsidRPr="00D41FC4">
        <w:rPr>
          <w:rFonts w:eastAsia="MS Mincho"/>
          <w:sz w:val="22"/>
          <w:szCs w:val="22"/>
        </w:rPr>
        <w:t xml:space="preserve">el-15, </w:t>
      </w:r>
      <w:r>
        <w:rPr>
          <w:rFonts w:eastAsia="MS Mincho"/>
          <w:sz w:val="22"/>
          <w:szCs w:val="22"/>
        </w:rPr>
        <w:t xml:space="preserve">AUL </w:t>
      </w:r>
      <w:r w:rsidRPr="00D41FC4">
        <w:rPr>
          <w:rFonts w:eastAsia="MS Mincho"/>
          <w:sz w:val="22"/>
          <w:szCs w:val="22"/>
        </w:rPr>
        <w:t>downlink feedback information ("AUL-DFI") was specified to carry pending HARQ feedback for several uplink transmissions from the same UE through a bitmap</w:t>
      </w:r>
      <w:r w:rsidR="006C5D0F">
        <w:rPr>
          <w:rFonts w:eastAsia="MS Mincho"/>
          <w:sz w:val="22"/>
          <w:szCs w:val="22"/>
        </w:rPr>
        <w:t xml:space="preserve"> [1]</w:t>
      </w:r>
      <w:r>
        <w:rPr>
          <w:rFonts w:eastAsia="MS Mincho"/>
          <w:sz w:val="22"/>
          <w:szCs w:val="22"/>
        </w:rPr>
        <w:t xml:space="preserve">. Signaling similar to AUL-DFI would also be beneficial for AUL NR-U. </w:t>
      </w:r>
    </w:p>
    <w:p w14:paraId="75BD2227" w14:textId="3A93A5AD" w:rsidR="002C26EA" w:rsidRPr="00D41FC4" w:rsidRDefault="002C26EA" w:rsidP="000E65E8">
      <w:pPr>
        <w:autoSpaceDE w:val="0"/>
        <w:autoSpaceDN w:val="0"/>
        <w:adjustRightInd w:val="0"/>
        <w:jc w:val="both"/>
        <w:rPr>
          <w:rFonts w:asciiTheme="majorBidi" w:eastAsia="Calibri" w:hAnsiTheme="majorBidi" w:cstheme="majorBidi"/>
          <w:sz w:val="22"/>
          <w:szCs w:val="22"/>
        </w:rPr>
      </w:pPr>
    </w:p>
    <w:p w14:paraId="32D22680" w14:textId="1B4B6F39" w:rsidR="008900F2" w:rsidRPr="008900F2" w:rsidRDefault="008900F2" w:rsidP="008900F2">
      <w:pPr>
        <w:autoSpaceDE w:val="0"/>
        <w:autoSpaceDN w:val="0"/>
        <w:adjustRightInd w:val="0"/>
        <w:jc w:val="both"/>
        <w:rPr>
          <w:b/>
          <w:bCs/>
          <w:sz w:val="22"/>
          <w:szCs w:val="22"/>
        </w:rPr>
      </w:pPr>
      <w:r>
        <w:rPr>
          <w:b/>
          <w:bCs/>
          <w:sz w:val="22"/>
          <w:szCs w:val="22"/>
        </w:rPr>
        <w:t xml:space="preserve">Proposal 2: </w:t>
      </w:r>
      <w:r w:rsidRPr="008900F2">
        <w:rPr>
          <w:b/>
          <w:bCs/>
          <w:sz w:val="22"/>
          <w:szCs w:val="22"/>
        </w:rPr>
        <w:t xml:space="preserve">The autonomous UL functionality </w:t>
      </w:r>
      <w:r w:rsidR="00956F35">
        <w:rPr>
          <w:b/>
          <w:bCs/>
          <w:sz w:val="22"/>
          <w:szCs w:val="22"/>
        </w:rPr>
        <w:t xml:space="preserve">for NR-U </w:t>
      </w:r>
      <w:r w:rsidRPr="008900F2">
        <w:rPr>
          <w:b/>
          <w:bCs/>
          <w:sz w:val="22"/>
          <w:szCs w:val="22"/>
        </w:rPr>
        <w:t xml:space="preserve">can be achieved by using </w:t>
      </w:r>
      <w:r w:rsidR="00956F35">
        <w:rPr>
          <w:b/>
          <w:bCs/>
          <w:sz w:val="22"/>
          <w:szCs w:val="22"/>
        </w:rPr>
        <w:t>Type 1 and Type 2 configured UL specified in NR Rel-15</w:t>
      </w:r>
      <w:r w:rsidR="00956F35" w:rsidRPr="00956F35">
        <w:rPr>
          <w:b/>
          <w:bCs/>
          <w:sz w:val="22"/>
          <w:szCs w:val="22"/>
        </w:rPr>
        <w:t xml:space="preserve"> wi</w:t>
      </w:r>
      <w:r w:rsidR="00956F35">
        <w:rPr>
          <w:b/>
          <w:bCs/>
          <w:sz w:val="22"/>
          <w:szCs w:val="22"/>
        </w:rPr>
        <w:t xml:space="preserve">th some additional enhancements </w:t>
      </w:r>
    </w:p>
    <w:p w14:paraId="522E7354" w14:textId="38BFD81A" w:rsidR="008900F2" w:rsidRPr="008900F2" w:rsidRDefault="008900F2" w:rsidP="008900F2">
      <w:pPr>
        <w:autoSpaceDE w:val="0"/>
        <w:autoSpaceDN w:val="0"/>
        <w:adjustRightInd w:val="0"/>
        <w:jc w:val="both"/>
        <w:rPr>
          <w:b/>
          <w:bCs/>
          <w:sz w:val="22"/>
          <w:szCs w:val="22"/>
          <w:lang w:val="en-GB"/>
        </w:rPr>
      </w:pPr>
    </w:p>
    <w:p w14:paraId="61B09B29" w14:textId="730FAD73" w:rsidR="00956F35" w:rsidRPr="00956F35" w:rsidRDefault="00956F35" w:rsidP="00956F35">
      <w:pPr>
        <w:autoSpaceDE w:val="0"/>
        <w:autoSpaceDN w:val="0"/>
        <w:adjustRightInd w:val="0"/>
        <w:jc w:val="both"/>
        <w:rPr>
          <w:b/>
          <w:bCs/>
          <w:sz w:val="22"/>
          <w:szCs w:val="22"/>
        </w:rPr>
      </w:pPr>
      <w:bookmarkStart w:id="5" w:name="_Toc494399775"/>
      <w:bookmarkStart w:id="6" w:name="_Toc494361440"/>
      <w:bookmarkStart w:id="7" w:name="_Toc494361082"/>
      <w:bookmarkStart w:id="8" w:name="_Toc494360854"/>
      <w:bookmarkStart w:id="9" w:name="_Toc494315336"/>
      <w:bookmarkStart w:id="10" w:name="_Toc494306674"/>
      <w:bookmarkStart w:id="11" w:name="_Toc494306660"/>
      <w:bookmarkStart w:id="12" w:name="_Toc494304830"/>
      <w:bookmarkStart w:id="13" w:name="_Toc494298423"/>
      <w:bookmarkStart w:id="14" w:name="_Toc494298059"/>
      <w:bookmarkStart w:id="15" w:name="_Toc494298045"/>
      <w:bookmarkStart w:id="16" w:name="_Ref494294009"/>
      <w:bookmarkStart w:id="17" w:name="_Ref494293748"/>
      <w:bookmarkStart w:id="18" w:name="_Toc490233207"/>
      <w:bookmarkStart w:id="19" w:name="_Toc490152750"/>
      <w:r w:rsidRPr="00956F35">
        <w:rPr>
          <w:b/>
          <w:bCs/>
          <w:sz w:val="22"/>
          <w:szCs w:val="22"/>
        </w:rPr>
        <w:t xml:space="preserve">Proposal 3: </w:t>
      </w:r>
      <w:r w:rsidR="00171E36">
        <w:rPr>
          <w:b/>
          <w:bCs/>
          <w:sz w:val="22"/>
          <w:szCs w:val="22"/>
        </w:rPr>
        <w:t>For</w:t>
      </w:r>
      <w:r w:rsidRPr="00956F35">
        <w:rPr>
          <w:b/>
          <w:bCs/>
          <w:sz w:val="22"/>
          <w:szCs w:val="22"/>
        </w:rPr>
        <w:t xml:space="preserve"> the NR autonomous UL access,</w:t>
      </w:r>
      <w:r w:rsidR="00171E36">
        <w:rPr>
          <w:b/>
          <w:bCs/>
          <w:sz w:val="22"/>
          <w:szCs w:val="22"/>
        </w:rPr>
        <w:t xml:space="preserve"> asynchronous HARQ should be supported whereby the</w:t>
      </w:r>
      <w:r w:rsidRPr="00956F35">
        <w:rPr>
          <w:b/>
          <w:bCs/>
          <w:sz w:val="22"/>
          <w:szCs w:val="22"/>
        </w:rPr>
        <w:t xml:space="preserve"> HARQ ID associated with a TB is not tied to the </w:t>
      </w:r>
      <w:r>
        <w:rPr>
          <w:b/>
          <w:bCs/>
          <w:sz w:val="22"/>
          <w:szCs w:val="22"/>
        </w:rPr>
        <w:t>s</w:t>
      </w:r>
      <w:r w:rsidRPr="00956F35">
        <w:rPr>
          <w:b/>
          <w:bCs/>
          <w:sz w:val="22"/>
          <w:szCs w:val="22"/>
        </w:rPr>
        <w:t>lot index.</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E823508" w14:textId="5B0ADC38" w:rsidR="00723314" w:rsidRPr="00D41FC4" w:rsidRDefault="00723314" w:rsidP="000E65E8">
      <w:pPr>
        <w:autoSpaceDE w:val="0"/>
        <w:autoSpaceDN w:val="0"/>
        <w:adjustRightInd w:val="0"/>
        <w:jc w:val="both"/>
        <w:rPr>
          <w:b/>
          <w:bCs/>
          <w:sz w:val="22"/>
          <w:szCs w:val="22"/>
        </w:rPr>
      </w:pPr>
    </w:p>
    <w:p w14:paraId="1E876F56" w14:textId="5320F5B4" w:rsidR="00D41FC4" w:rsidRPr="00956F35" w:rsidRDefault="00D41FC4" w:rsidP="00D41FC4">
      <w:pPr>
        <w:autoSpaceDE w:val="0"/>
        <w:autoSpaceDN w:val="0"/>
        <w:adjustRightInd w:val="0"/>
        <w:jc w:val="both"/>
        <w:rPr>
          <w:b/>
          <w:bCs/>
          <w:sz w:val="22"/>
          <w:szCs w:val="22"/>
        </w:rPr>
      </w:pPr>
      <w:r>
        <w:rPr>
          <w:b/>
          <w:bCs/>
          <w:sz w:val="22"/>
          <w:szCs w:val="22"/>
        </w:rPr>
        <w:t>Proposal 4</w:t>
      </w:r>
      <w:r w:rsidRPr="00956F35">
        <w:rPr>
          <w:b/>
          <w:bCs/>
          <w:sz w:val="22"/>
          <w:szCs w:val="22"/>
        </w:rPr>
        <w:t xml:space="preserve">: </w:t>
      </w:r>
      <w:r>
        <w:rPr>
          <w:b/>
          <w:bCs/>
          <w:sz w:val="22"/>
          <w:szCs w:val="22"/>
        </w:rPr>
        <w:t>For</w:t>
      </w:r>
      <w:r w:rsidRPr="00956F35">
        <w:rPr>
          <w:b/>
          <w:bCs/>
          <w:sz w:val="22"/>
          <w:szCs w:val="22"/>
        </w:rPr>
        <w:t xml:space="preserve"> the NR autonomous UL access,</w:t>
      </w:r>
      <w:r>
        <w:rPr>
          <w:b/>
          <w:bCs/>
          <w:sz w:val="22"/>
          <w:szCs w:val="22"/>
        </w:rPr>
        <w:t xml:space="preserve"> specify new format for </w:t>
      </w:r>
      <w:r w:rsidRPr="00D41FC4">
        <w:rPr>
          <w:b/>
          <w:bCs/>
          <w:sz w:val="22"/>
          <w:szCs w:val="22"/>
        </w:rPr>
        <w:t>downlink feedback information that enables carry</w:t>
      </w:r>
      <w:r>
        <w:rPr>
          <w:b/>
          <w:bCs/>
          <w:sz w:val="22"/>
          <w:szCs w:val="22"/>
        </w:rPr>
        <w:t>ing</w:t>
      </w:r>
      <w:r w:rsidRPr="00D41FC4">
        <w:rPr>
          <w:b/>
          <w:bCs/>
          <w:sz w:val="22"/>
          <w:szCs w:val="22"/>
        </w:rPr>
        <w:t xml:space="preserve"> pending HARQ feedback for several uplink transmissions from the same UE</w:t>
      </w:r>
      <w:r>
        <w:rPr>
          <w:b/>
          <w:bCs/>
          <w:sz w:val="22"/>
          <w:szCs w:val="22"/>
        </w:rPr>
        <w:t>.</w:t>
      </w:r>
    </w:p>
    <w:p w14:paraId="4AAF28D5" w14:textId="4052A6E5" w:rsidR="004C6B90" w:rsidRDefault="004C6B90" w:rsidP="000E65E8">
      <w:pPr>
        <w:autoSpaceDE w:val="0"/>
        <w:autoSpaceDN w:val="0"/>
        <w:adjustRightInd w:val="0"/>
        <w:jc w:val="both"/>
        <w:rPr>
          <w:sz w:val="22"/>
          <w:szCs w:val="22"/>
        </w:rPr>
      </w:pPr>
    </w:p>
    <w:p w14:paraId="07CC0E16" w14:textId="77777777" w:rsidR="004549CC" w:rsidRDefault="004549CC" w:rsidP="000E65E8">
      <w:pPr>
        <w:pStyle w:val="Heading1"/>
        <w:keepLines/>
        <w:pBdr>
          <w:top w:val="single" w:sz="12" w:space="3" w:color="auto"/>
        </w:pBdr>
        <w:tabs>
          <w:tab w:val="num" w:pos="432"/>
        </w:tabs>
        <w:overflowPunct w:val="0"/>
        <w:autoSpaceDE w:val="0"/>
        <w:autoSpaceDN w:val="0"/>
        <w:adjustRightInd w:val="0"/>
        <w:spacing w:after="180"/>
        <w:jc w:val="both"/>
        <w:textAlignment w:val="baseline"/>
      </w:pPr>
      <w:bookmarkStart w:id="20" w:name="_Toc450768826"/>
      <w:bookmarkStart w:id="21" w:name="_Toc450768876"/>
      <w:bookmarkEnd w:id="20"/>
      <w:bookmarkEnd w:id="21"/>
      <w:r>
        <w:t>Conclusion</w:t>
      </w:r>
    </w:p>
    <w:p w14:paraId="3A451DB6" w14:textId="3EE5B123" w:rsidR="004549CC" w:rsidRPr="00A05E64" w:rsidRDefault="004549CC" w:rsidP="000E65E8">
      <w:pPr>
        <w:pStyle w:val="TOC1"/>
        <w:jc w:val="both"/>
        <w:rPr>
          <w:b w:val="0"/>
          <w:bCs/>
          <w:sz w:val="22"/>
        </w:rPr>
      </w:pPr>
      <w:r w:rsidRPr="00A05E64">
        <w:rPr>
          <w:b w:val="0"/>
          <w:bCs/>
          <w:sz w:val="22"/>
        </w:rPr>
        <w:t xml:space="preserve">Based on the discussion in section 2 we make a </w:t>
      </w:r>
      <w:r w:rsidR="00956F35">
        <w:rPr>
          <w:b w:val="0"/>
          <w:bCs/>
          <w:sz w:val="22"/>
        </w:rPr>
        <w:t>the following observation</w:t>
      </w:r>
    </w:p>
    <w:p w14:paraId="0891A00B" w14:textId="77777777" w:rsidR="004549CC" w:rsidRPr="00A05E64" w:rsidRDefault="004549CC" w:rsidP="000E65E8">
      <w:pPr>
        <w:pStyle w:val="TOC1"/>
        <w:jc w:val="both"/>
        <w:rPr>
          <w:b w:val="0"/>
          <w:bCs/>
          <w:sz w:val="22"/>
        </w:rPr>
      </w:pPr>
    </w:p>
    <w:p w14:paraId="07A7AB92" w14:textId="77777777" w:rsidR="00956F35" w:rsidRDefault="00956F35" w:rsidP="00956F35">
      <w:pPr>
        <w:autoSpaceDE w:val="0"/>
        <w:autoSpaceDN w:val="0"/>
        <w:adjustRightInd w:val="0"/>
        <w:jc w:val="both"/>
        <w:rPr>
          <w:b/>
          <w:bCs/>
          <w:sz w:val="22"/>
          <w:szCs w:val="22"/>
        </w:rPr>
      </w:pPr>
      <w:r>
        <w:rPr>
          <w:b/>
          <w:bCs/>
          <w:sz w:val="22"/>
          <w:szCs w:val="22"/>
        </w:rPr>
        <w:t>Observation 1: UL latency can be lower by reducing the control signaling related to scheduling that precede every UL transmission.</w:t>
      </w:r>
    </w:p>
    <w:p w14:paraId="27F75CCC" w14:textId="77777777" w:rsidR="004549CC" w:rsidRPr="00A05E64" w:rsidRDefault="004549CC" w:rsidP="000E65E8">
      <w:pPr>
        <w:pStyle w:val="TOC1"/>
        <w:jc w:val="both"/>
        <w:rPr>
          <w:b w:val="0"/>
          <w:bCs/>
          <w:sz w:val="22"/>
        </w:rPr>
      </w:pPr>
    </w:p>
    <w:p w14:paraId="57AFBAF3" w14:textId="77777777" w:rsidR="004549CC" w:rsidRPr="00A05E64" w:rsidRDefault="004549CC" w:rsidP="000E65E8">
      <w:pPr>
        <w:pStyle w:val="TOC1"/>
        <w:jc w:val="both"/>
        <w:rPr>
          <w:sz w:val="22"/>
        </w:rPr>
      </w:pPr>
      <w:r w:rsidRPr="00A05E64">
        <w:rPr>
          <w:b w:val="0"/>
          <w:bCs/>
          <w:sz w:val="22"/>
        </w:rPr>
        <w:t xml:space="preserve">Based on the discussion in this paper we make the folowing proposal. </w:t>
      </w:r>
      <w:r w:rsidRPr="00A05E64">
        <w:rPr>
          <w:b w:val="0"/>
          <w:bCs/>
          <w:sz w:val="22"/>
        </w:rPr>
        <w:fldChar w:fldCharType="begin"/>
      </w:r>
      <w:r w:rsidRPr="00A05E64">
        <w:rPr>
          <w:b w:val="0"/>
          <w:bCs/>
          <w:sz w:val="22"/>
        </w:rPr>
        <w:instrText xml:space="preserve"> TOC \f \n \p " " \t "Proposal;1" </w:instrText>
      </w:r>
      <w:r w:rsidRPr="00A05E64">
        <w:rPr>
          <w:b w:val="0"/>
          <w:bCs/>
          <w:sz w:val="22"/>
        </w:rPr>
        <w:fldChar w:fldCharType="separate"/>
      </w:r>
    </w:p>
    <w:p w14:paraId="5E8C3404" w14:textId="77777777" w:rsidR="00956F35" w:rsidRDefault="00956F35" w:rsidP="00956F35">
      <w:pPr>
        <w:autoSpaceDE w:val="0"/>
        <w:autoSpaceDN w:val="0"/>
        <w:adjustRightInd w:val="0"/>
        <w:jc w:val="both"/>
        <w:rPr>
          <w:b/>
          <w:bCs/>
          <w:sz w:val="22"/>
          <w:szCs w:val="22"/>
        </w:rPr>
      </w:pPr>
    </w:p>
    <w:p w14:paraId="53827777" w14:textId="7D96303D" w:rsidR="00956F35" w:rsidRDefault="00956F35" w:rsidP="00956F35">
      <w:pPr>
        <w:autoSpaceDE w:val="0"/>
        <w:autoSpaceDN w:val="0"/>
        <w:adjustRightInd w:val="0"/>
        <w:jc w:val="both"/>
        <w:rPr>
          <w:b/>
          <w:bCs/>
          <w:sz w:val="22"/>
          <w:szCs w:val="22"/>
        </w:rPr>
      </w:pPr>
      <w:r>
        <w:rPr>
          <w:b/>
          <w:bCs/>
          <w:sz w:val="22"/>
          <w:szCs w:val="22"/>
        </w:rPr>
        <w:t>Proposal 1:  It is beneficial to support autonomous data transmissions on pre-allocated resources on NR-U Cells to reduce signaling overhead and latency.</w:t>
      </w:r>
    </w:p>
    <w:p w14:paraId="05C5896D" w14:textId="77777777" w:rsidR="00956F35" w:rsidRDefault="00956F35" w:rsidP="00956F35">
      <w:pPr>
        <w:autoSpaceDE w:val="0"/>
        <w:autoSpaceDN w:val="0"/>
        <w:adjustRightInd w:val="0"/>
        <w:jc w:val="both"/>
        <w:rPr>
          <w:b/>
          <w:bCs/>
          <w:sz w:val="22"/>
          <w:szCs w:val="22"/>
        </w:rPr>
      </w:pPr>
    </w:p>
    <w:p w14:paraId="2EC63C11" w14:textId="37F0BCE9" w:rsidR="00956F35" w:rsidRPr="008900F2" w:rsidRDefault="004549CC" w:rsidP="00956F35">
      <w:pPr>
        <w:autoSpaceDE w:val="0"/>
        <w:autoSpaceDN w:val="0"/>
        <w:adjustRightInd w:val="0"/>
        <w:jc w:val="both"/>
        <w:rPr>
          <w:b/>
          <w:bCs/>
          <w:sz w:val="22"/>
          <w:szCs w:val="22"/>
        </w:rPr>
      </w:pPr>
      <w:r w:rsidRPr="00A05E64">
        <w:rPr>
          <w:b/>
          <w:bCs/>
          <w:sz w:val="22"/>
        </w:rPr>
        <w:fldChar w:fldCharType="end"/>
      </w:r>
      <w:r w:rsidR="00956F35">
        <w:rPr>
          <w:b/>
          <w:bCs/>
          <w:sz w:val="22"/>
          <w:szCs w:val="22"/>
        </w:rPr>
        <w:t xml:space="preserve">Proposal 2: </w:t>
      </w:r>
      <w:r w:rsidR="00956F35" w:rsidRPr="008900F2">
        <w:rPr>
          <w:b/>
          <w:bCs/>
          <w:sz w:val="22"/>
          <w:szCs w:val="22"/>
        </w:rPr>
        <w:t xml:space="preserve">The autonomous UL functionality </w:t>
      </w:r>
      <w:r w:rsidR="00956F35">
        <w:rPr>
          <w:b/>
          <w:bCs/>
          <w:sz w:val="22"/>
          <w:szCs w:val="22"/>
        </w:rPr>
        <w:t xml:space="preserve">for NR-U </w:t>
      </w:r>
      <w:r w:rsidR="00956F35" w:rsidRPr="008900F2">
        <w:rPr>
          <w:b/>
          <w:bCs/>
          <w:sz w:val="22"/>
          <w:szCs w:val="22"/>
        </w:rPr>
        <w:t xml:space="preserve">can be achieved by using </w:t>
      </w:r>
      <w:r w:rsidR="00956F35">
        <w:rPr>
          <w:b/>
          <w:bCs/>
          <w:sz w:val="22"/>
          <w:szCs w:val="22"/>
        </w:rPr>
        <w:t>Type 1 and Type 2 configured UL specified in NR Rel-15</w:t>
      </w:r>
      <w:r w:rsidR="00956F35" w:rsidRPr="00956F35">
        <w:rPr>
          <w:b/>
          <w:bCs/>
          <w:sz w:val="22"/>
          <w:szCs w:val="22"/>
        </w:rPr>
        <w:t xml:space="preserve"> wi</w:t>
      </w:r>
      <w:r w:rsidR="00956F35">
        <w:rPr>
          <w:b/>
          <w:bCs/>
          <w:sz w:val="22"/>
          <w:szCs w:val="22"/>
        </w:rPr>
        <w:t xml:space="preserve">th some additional enhancements </w:t>
      </w:r>
    </w:p>
    <w:p w14:paraId="05FB22E2" w14:textId="77777777" w:rsidR="00956F35" w:rsidRPr="008900F2" w:rsidRDefault="00956F35" w:rsidP="00956F35">
      <w:pPr>
        <w:autoSpaceDE w:val="0"/>
        <w:autoSpaceDN w:val="0"/>
        <w:adjustRightInd w:val="0"/>
        <w:jc w:val="both"/>
        <w:rPr>
          <w:b/>
          <w:bCs/>
          <w:sz w:val="22"/>
          <w:szCs w:val="22"/>
          <w:lang w:val="en-GB"/>
        </w:rPr>
      </w:pPr>
    </w:p>
    <w:p w14:paraId="7FC81338" w14:textId="597708CD" w:rsidR="00D41FC4" w:rsidRDefault="00D41FC4" w:rsidP="00D41FC4">
      <w:pPr>
        <w:autoSpaceDE w:val="0"/>
        <w:autoSpaceDN w:val="0"/>
        <w:adjustRightInd w:val="0"/>
        <w:jc w:val="both"/>
        <w:rPr>
          <w:b/>
          <w:bCs/>
          <w:sz w:val="22"/>
          <w:szCs w:val="22"/>
        </w:rPr>
      </w:pPr>
      <w:r w:rsidRPr="00956F35">
        <w:rPr>
          <w:b/>
          <w:bCs/>
          <w:sz w:val="22"/>
          <w:szCs w:val="22"/>
        </w:rPr>
        <w:t xml:space="preserve">Proposal 3: </w:t>
      </w:r>
      <w:r>
        <w:rPr>
          <w:b/>
          <w:bCs/>
          <w:sz w:val="22"/>
          <w:szCs w:val="22"/>
        </w:rPr>
        <w:t>For</w:t>
      </w:r>
      <w:r w:rsidRPr="00956F35">
        <w:rPr>
          <w:b/>
          <w:bCs/>
          <w:sz w:val="22"/>
          <w:szCs w:val="22"/>
        </w:rPr>
        <w:t xml:space="preserve"> the NR autonomous UL access,</w:t>
      </w:r>
      <w:r>
        <w:rPr>
          <w:b/>
          <w:bCs/>
          <w:sz w:val="22"/>
          <w:szCs w:val="22"/>
        </w:rPr>
        <w:t xml:space="preserve"> asynchronous HARQ should be supported whereby the</w:t>
      </w:r>
      <w:r w:rsidRPr="00956F35">
        <w:rPr>
          <w:b/>
          <w:bCs/>
          <w:sz w:val="22"/>
          <w:szCs w:val="22"/>
        </w:rPr>
        <w:t xml:space="preserve"> HARQ ID associated with a TB is not tied to the </w:t>
      </w:r>
      <w:r>
        <w:rPr>
          <w:b/>
          <w:bCs/>
          <w:sz w:val="22"/>
          <w:szCs w:val="22"/>
        </w:rPr>
        <w:t>s</w:t>
      </w:r>
      <w:r w:rsidRPr="00956F35">
        <w:rPr>
          <w:b/>
          <w:bCs/>
          <w:sz w:val="22"/>
          <w:szCs w:val="22"/>
        </w:rPr>
        <w:t>lot index.</w:t>
      </w:r>
    </w:p>
    <w:p w14:paraId="4699869A" w14:textId="77777777" w:rsidR="00D41FC4" w:rsidRPr="00956F35" w:rsidRDefault="00D41FC4" w:rsidP="00D41FC4">
      <w:pPr>
        <w:autoSpaceDE w:val="0"/>
        <w:autoSpaceDN w:val="0"/>
        <w:adjustRightInd w:val="0"/>
        <w:jc w:val="both"/>
        <w:rPr>
          <w:b/>
          <w:bCs/>
          <w:sz w:val="22"/>
          <w:szCs w:val="22"/>
        </w:rPr>
      </w:pPr>
    </w:p>
    <w:p w14:paraId="3F565F7E" w14:textId="1F7A44EA" w:rsidR="00D41FC4" w:rsidRPr="00956F35" w:rsidRDefault="00D41FC4" w:rsidP="00D41FC4">
      <w:pPr>
        <w:autoSpaceDE w:val="0"/>
        <w:autoSpaceDN w:val="0"/>
        <w:adjustRightInd w:val="0"/>
        <w:jc w:val="both"/>
        <w:rPr>
          <w:b/>
          <w:bCs/>
          <w:sz w:val="22"/>
          <w:szCs w:val="22"/>
        </w:rPr>
      </w:pPr>
      <w:r w:rsidRPr="00956F35">
        <w:rPr>
          <w:b/>
          <w:bCs/>
          <w:sz w:val="22"/>
          <w:szCs w:val="22"/>
        </w:rPr>
        <w:t xml:space="preserve">Proposal </w:t>
      </w:r>
      <w:r w:rsidR="00F67129">
        <w:rPr>
          <w:b/>
          <w:bCs/>
          <w:sz w:val="22"/>
          <w:szCs w:val="22"/>
        </w:rPr>
        <w:t>4</w:t>
      </w:r>
      <w:r w:rsidRPr="00956F35">
        <w:rPr>
          <w:b/>
          <w:bCs/>
          <w:sz w:val="22"/>
          <w:szCs w:val="22"/>
        </w:rPr>
        <w:t xml:space="preserve">: </w:t>
      </w:r>
      <w:r>
        <w:rPr>
          <w:b/>
          <w:bCs/>
          <w:sz w:val="22"/>
          <w:szCs w:val="22"/>
        </w:rPr>
        <w:t>For</w:t>
      </w:r>
      <w:r w:rsidRPr="00956F35">
        <w:rPr>
          <w:b/>
          <w:bCs/>
          <w:sz w:val="22"/>
          <w:szCs w:val="22"/>
        </w:rPr>
        <w:t xml:space="preserve"> the NR autonomous UL access,</w:t>
      </w:r>
      <w:r>
        <w:rPr>
          <w:b/>
          <w:bCs/>
          <w:sz w:val="22"/>
          <w:szCs w:val="22"/>
        </w:rPr>
        <w:t xml:space="preserve"> specify new format for </w:t>
      </w:r>
      <w:r w:rsidRPr="00D41FC4">
        <w:rPr>
          <w:b/>
          <w:bCs/>
          <w:sz w:val="22"/>
          <w:szCs w:val="22"/>
        </w:rPr>
        <w:t>downlink feedback information that enables carry</w:t>
      </w:r>
      <w:r>
        <w:rPr>
          <w:b/>
          <w:bCs/>
          <w:sz w:val="22"/>
          <w:szCs w:val="22"/>
        </w:rPr>
        <w:t>ing</w:t>
      </w:r>
      <w:r w:rsidRPr="00D41FC4">
        <w:rPr>
          <w:b/>
          <w:bCs/>
          <w:sz w:val="22"/>
          <w:szCs w:val="22"/>
        </w:rPr>
        <w:t xml:space="preserve"> pending HARQ feedback for several uplink transmissions from the same UE</w:t>
      </w:r>
      <w:r>
        <w:rPr>
          <w:b/>
          <w:bCs/>
          <w:sz w:val="22"/>
          <w:szCs w:val="22"/>
        </w:rPr>
        <w:t>.</w:t>
      </w:r>
    </w:p>
    <w:p w14:paraId="2A2E6DFB" w14:textId="77777777" w:rsidR="004549CC" w:rsidRPr="00C77776" w:rsidRDefault="004549CC" w:rsidP="000E65E8">
      <w:pPr>
        <w:pStyle w:val="TOC1"/>
        <w:tabs>
          <w:tab w:val="clear" w:pos="1701"/>
        </w:tabs>
        <w:ind w:left="1620" w:hanging="1620"/>
        <w:jc w:val="both"/>
        <w:rPr>
          <w:iCs/>
        </w:rPr>
      </w:pPr>
    </w:p>
    <w:p w14:paraId="523E0CE0" w14:textId="77777777" w:rsidR="004549CC" w:rsidRPr="00A742FA" w:rsidRDefault="004549CC" w:rsidP="000E65E8">
      <w:pPr>
        <w:pStyle w:val="Heading1"/>
        <w:keepLines/>
        <w:pBdr>
          <w:top w:val="single" w:sz="12" w:space="3" w:color="auto"/>
        </w:pBdr>
        <w:tabs>
          <w:tab w:val="num" w:pos="432"/>
        </w:tabs>
        <w:overflowPunct w:val="0"/>
        <w:autoSpaceDE w:val="0"/>
        <w:autoSpaceDN w:val="0"/>
        <w:adjustRightInd w:val="0"/>
        <w:spacing w:after="180"/>
        <w:jc w:val="both"/>
        <w:textAlignment w:val="baseline"/>
      </w:pPr>
      <w:r w:rsidRPr="00A742FA">
        <w:t>Reference</w:t>
      </w:r>
      <w:r>
        <w:t>s</w:t>
      </w:r>
    </w:p>
    <w:p w14:paraId="7E059BD0" w14:textId="77777777" w:rsidR="00D41FC4" w:rsidRDefault="00D41FC4" w:rsidP="00D41FC4">
      <w:pPr>
        <w:pStyle w:val="Reference"/>
        <w:overflowPunct/>
        <w:autoSpaceDE/>
        <w:autoSpaceDN/>
        <w:adjustRightInd/>
        <w:spacing w:after="160" w:line="259" w:lineRule="auto"/>
        <w:textAlignment w:val="auto"/>
        <w:rPr>
          <w:lang w:eastAsia="ja-JP"/>
        </w:rPr>
      </w:pPr>
      <w:bookmarkStart w:id="22" w:name="_Ref488061725"/>
      <w:r>
        <w:t>Chairman’s Notes, RAN1 WG #90bis</w:t>
      </w:r>
      <w:bookmarkEnd w:id="22"/>
    </w:p>
    <w:p w14:paraId="3550302E" w14:textId="77777777" w:rsidR="00022DEC" w:rsidRPr="00943C76" w:rsidRDefault="00022DEC" w:rsidP="000E65E8">
      <w:pPr>
        <w:jc w:val="both"/>
        <w:rPr>
          <w:b/>
          <w:lang w:val="en-GB"/>
        </w:rPr>
      </w:pPr>
    </w:p>
    <w:sectPr w:rsidR="00022DEC" w:rsidRPr="00943C76">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9D05F" w14:textId="77777777" w:rsidR="00E21E68" w:rsidRDefault="00E21E68">
      <w:r>
        <w:separator/>
      </w:r>
    </w:p>
  </w:endnote>
  <w:endnote w:type="continuationSeparator" w:id="0">
    <w:p w14:paraId="3E98B42A" w14:textId="77777777" w:rsidR="00E21E68" w:rsidRDefault="00E21E68">
      <w:r>
        <w:continuationSeparator/>
      </w:r>
    </w:p>
  </w:endnote>
  <w:endnote w:type="continuationNotice" w:id="1">
    <w:p w14:paraId="75E2260C" w14:textId="77777777" w:rsidR="00E21E68" w:rsidRDefault="00E21E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F259" w14:textId="7FAF5D06" w:rsidR="008900F2" w:rsidRDefault="008900F2" w:rsidP="00165967">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D21574">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21574">
      <w:rPr>
        <w:rStyle w:val="PageNumber"/>
        <w:noProof/>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A77A5" w14:textId="77777777" w:rsidR="00E21E68" w:rsidRDefault="00E21E68">
      <w:r>
        <w:separator/>
      </w:r>
    </w:p>
  </w:footnote>
  <w:footnote w:type="continuationSeparator" w:id="0">
    <w:p w14:paraId="44F8BC43" w14:textId="77777777" w:rsidR="00E21E68" w:rsidRDefault="00E21E68">
      <w:r>
        <w:continuationSeparator/>
      </w:r>
    </w:p>
  </w:footnote>
  <w:footnote w:type="continuationNotice" w:id="1">
    <w:p w14:paraId="676DD9B5" w14:textId="77777777" w:rsidR="00E21E68" w:rsidRDefault="00E21E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E7819" w14:textId="77777777" w:rsidR="008900F2" w:rsidRDefault="008900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08E7B24"/>
    <w:multiLevelType w:val="hybridMultilevel"/>
    <w:tmpl w:val="E0B86CCA"/>
    <w:lvl w:ilvl="0" w:tplc="1652B28C">
      <w:start w:val="1"/>
      <w:numFmt w:val="bullet"/>
      <w:lvlText w:val="•"/>
      <w:lvlJc w:val="left"/>
      <w:pPr>
        <w:tabs>
          <w:tab w:val="num" w:pos="720"/>
        </w:tabs>
        <w:ind w:left="720" w:hanging="360"/>
      </w:pPr>
      <w:rPr>
        <w:rFonts w:ascii="Arial" w:hAnsi="Arial" w:cs="Times New Roman" w:hint="default"/>
      </w:rPr>
    </w:lvl>
    <w:lvl w:ilvl="1" w:tplc="19F41DE6">
      <w:numFmt w:val="bullet"/>
      <w:lvlText w:val="•"/>
      <w:lvlJc w:val="left"/>
      <w:pPr>
        <w:tabs>
          <w:tab w:val="num" w:pos="1440"/>
        </w:tabs>
        <w:ind w:left="1440" w:hanging="360"/>
      </w:pPr>
      <w:rPr>
        <w:rFonts w:ascii="Arial" w:hAnsi="Arial" w:cs="Times New Roman" w:hint="default"/>
      </w:rPr>
    </w:lvl>
    <w:lvl w:ilvl="2" w:tplc="57362456">
      <w:numFmt w:val="bullet"/>
      <w:lvlText w:val="•"/>
      <w:lvlJc w:val="left"/>
      <w:pPr>
        <w:tabs>
          <w:tab w:val="num" w:pos="2160"/>
        </w:tabs>
        <w:ind w:left="2160" w:hanging="360"/>
      </w:pPr>
      <w:rPr>
        <w:rFonts w:ascii="Arial" w:hAnsi="Arial" w:cs="Times New Roman" w:hint="default"/>
      </w:rPr>
    </w:lvl>
    <w:lvl w:ilvl="3" w:tplc="6AA80E6E">
      <w:start w:val="1"/>
      <w:numFmt w:val="bullet"/>
      <w:lvlText w:val="•"/>
      <w:lvlJc w:val="left"/>
      <w:pPr>
        <w:tabs>
          <w:tab w:val="num" w:pos="2880"/>
        </w:tabs>
        <w:ind w:left="2880" w:hanging="360"/>
      </w:pPr>
      <w:rPr>
        <w:rFonts w:ascii="Arial" w:hAnsi="Arial" w:cs="Times New Roman" w:hint="default"/>
      </w:rPr>
    </w:lvl>
    <w:lvl w:ilvl="4" w:tplc="F3FC97FC">
      <w:start w:val="1"/>
      <w:numFmt w:val="bullet"/>
      <w:lvlText w:val="•"/>
      <w:lvlJc w:val="left"/>
      <w:pPr>
        <w:tabs>
          <w:tab w:val="num" w:pos="3600"/>
        </w:tabs>
        <w:ind w:left="3600" w:hanging="360"/>
      </w:pPr>
      <w:rPr>
        <w:rFonts w:ascii="Arial" w:hAnsi="Arial" w:cs="Times New Roman" w:hint="default"/>
      </w:rPr>
    </w:lvl>
    <w:lvl w:ilvl="5" w:tplc="3C68AB38">
      <w:start w:val="1"/>
      <w:numFmt w:val="bullet"/>
      <w:lvlText w:val="•"/>
      <w:lvlJc w:val="left"/>
      <w:pPr>
        <w:tabs>
          <w:tab w:val="num" w:pos="4320"/>
        </w:tabs>
        <w:ind w:left="4320" w:hanging="360"/>
      </w:pPr>
      <w:rPr>
        <w:rFonts w:ascii="Arial" w:hAnsi="Arial" w:cs="Times New Roman" w:hint="default"/>
      </w:rPr>
    </w:lvl>
    <w:lvl w:ilvl="6" w:tplc="181E81B0">
      <w:start w:val="1"/>
      <w:numFmt w:val="bullet"/>
      <w:lvlText w:val="•"/>
      <w:lvlJc w:val="left"/>
      <w:pPr>
        <w:tabs>
          <w:tab w:val="num" w:pos="5040"/>
        </w:tabs>
        <w:ind w:left="5040" w:hanging="360"/>
      </w:pPr>
      <w:rPr>
        <w:rFonts w:ascii="Arial" w:hAnsi="Arial" w:cs="Times New Roman" w:hint="default"/>
      </w:rPr>
    </w:lvl>
    <w:lvl w:ilvl="7" w:tplc="D5B4F6BA">
      <w:start w:val="1"/>
      <w:numFmt w:val="bullet"/>
      <w:lvlText w:val="•"/>
      <w:lvlJc w:val="left"/>
      <w:pPr>
        <w:tabs>
          <w:tab w:val="num" w:pos="5760"/>
        </w:tabs>
        <w:ind w:left="5760" w:hanging="360"/>
      </w:pPr>
      <w:rPr>
        <w:rFonts w:ascii="Arial" w:hAnsi="Arial" w:cs="Times New Roman" w:hint="default"/>
      </w:rPr>
    </w:lvl>
    <w:lvl w:ilvl="8" w:tplc="D11E02C8">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362F9A"/>
    <w:multiLevelType w:val="hybridMultilevel"/>
    <w:tmpl w:val="D9A2BAE0"/>
    <w:lvl w:ilvl="0" w:tplc="CDD63DC4">
      <w:start w:val="1"/>
      <w:numFmt w:val="bullet"/>
      <w:lvlText w:val="›"/>
      <w:lvlJc w:val="left"/>
      <w:pPr>
        <w:tabs>
          <w:tab w:val="num" w:pos="720"/>
        </w:tabs>
        <w:ind w:left="720" w:hanging="360"/>
      </w:pPr>
      <w:rPr>
        <w:rFonts w:ascii="Arial" w:hAnsi="Arial" w:hint="default"/>
      </w:rPr>
    </w:lvl>
    <w:lvl w:ilvl="1" w:tplc="1108DFC8" w:tentative="1">
      <w:start w:val="1"/>
      <w:numFmt w:val="bullet"/>
      <w:lvlText w:val="›"/>
      <w:lvlJc w:val="left"/>
      <w:pPr>
        <w:tabs>
          <w:tab w:val="num" w:pos="1440"/>
        </w:tabs>
        <w:ind w:left="1440" w:hanging="360"/>
      </w:pPr>
      <w:rPr>
        <w:rFonts w:ascii="Arial" w:hAnsi="Arial" w:hint="default"/>
      </w:rPr>
    </w:lvl>
    <w:lvl w:ilvl="2" w:tplc="9C4CA6F0" w:tentative="1">
      <w:start w:val="1"/>
      <w:numFmt w:val="bullet"/>
      <w:lvlText w:val="›"/>
      <w:lvlJc w:val="left"/>
      <w:pPr>
        <w:tabs>
          <w:tab w:val="num" w:pos="2160"/>
        </w:tabs>
        <w:ind w:left="2160" w:hanging="360"/>
      </w:pPr>
      <w:rPr>
        <w:rFonts w:ascii="Arial" w:hAnsi="Arial" w:hint="default"/>
      </w:rPr>
    </w:lvl>
    <w:lvl w:ilvl="3" w:tplc="B6F45880" w:tentative="1">
      <w:start w:val="1"/>
      <w:numFmt w:val="bullet"/>
      <w:lvlText w:val="›"/>
      <w:lvlJc w:val="left"/>
      <w:pPr>
        <w:tabs>
          <w:tab w:val="num" w:pos="2880"/>
        </w:tabs>
        <w:ind w:left="2880" w:hanging="360"/>
      </w:pPr>
      <w:rPr>
        <w:rFonts w:ascii="Arial" w:hAnsi="Arial" w:hint="default"/>
      </w:rPr>
    </w:lvl>
    <w:lvl w:ilvl="4" w:tplc="7FB48C12" w:tentative="1">
      <w:start w:val="1"/>
      <w:numFmt w:val="bullet"/>
      <w:lvlText w:val="›"/>
      <w:lvlJc w:val="left"/>
      <w:pPr>
        <w:tabs>
          <w:tab w:val="num" w:pos="3600"/>
        </w:tabs>
        <w:ind w:left="3600" w:hanging="360"/>
      </w:pPr>
      <w:rPr>
        <w:rFonts w:ascii="Arial" w:hAnsi="Arial" w:hint="default"/>
      </w:rPr>
    </w:lvl>
    <w:lvl w:ilvl="5" w:tplc="14DA6FF0" w:tentative="1">
      <w:start w:val="1"/>
      <w:numFmt w:val="bullet"/>
      <w:lvlText w:val="›"/>
      <w:lvlJc w:val="left"/>
      <w:pPr>
        <w:tabs>
          <w:tab w:val="num" w:pos="4320"/>
        </w:tabs>
        <w:ind w:left="4320" w:hanging="360"/>
      </w:pPr>
      <w:rPr>
        <w:rFonts w:ascii="Arial" w:hAnsi="Arial" w:hint="default"/>
      </w:rPr>
    </w:lvl>
    <w:lvl w:ilvl="6" w:tplc="A7C82B78" w:tentative="1">
      <w:start w:val="1"/>
      <w:numFmt w:val="bullet"/>
      <w:lvlText w:val="›"/>
      <w:lvlJc w:val="left"/>
      <w:pPr>
        <w:tabs>
          <w:tab w:val="num" w:pos="5040"/>
        </w:tabs>
        <w:ind w:left="5040" w:hanging="360"/>
      </w:pPr>
      <w:rPr>
        <w:rFonts w:ascii="Arial" w:hAnsi="Arial" w:hint="default"/>
      </w:rPr>
    </w:lvl>
    <w:lvl w:ilvl="7" w:tplc="1CE62394" w:tentative="1">
      <w:start w:val="1"/>
      <w:numFmt w:val="bullet"/>
      <w:lvlText w:val="›"/>
      <w:lvlJc w:val="left"/>
      <w:pPr>
        <w:tabs>
          <w:tab w:val="num" w:pos="5760"/>
        </w:tabs>
        <w:ind w:left="5760" w:hanging="360"/>
      </w:pPr>
      <w:rPr>
        <w:rFonts w:ascii="Arial" w:hAnsi="Arial" w:hint="default"/>
      </w:rPr>
    </w:lvl>
    <w:lvl w:ilvl="8" w:tplc="3EAA579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7"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6"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535732"/>
    <w:multiLevelType w:val="hybridMultilevel"/>
    <w:tmpl w:val="CAFA872C"/>
    <w:lvl w:ilvl="0" w:tplc="056A1750">
      <w:start w:val="1"/>
      <w:numFmt w:val="bullet"/>
      <w:lvlText w:val="›"/>
      <w:lvlJc w:val="left"/>
      <w:pPr>
        <w:tabs>
          <w:tab w:val="num" w:pos="720"/>
        </w:tabs>
        <w:ind w:left="720" w:hanging="360"/>
      </w:pPr>
      <w:rPr>
        <w:rFonts w:ascii="Arial" w:hAnsi="Arial" w:hint="default"/>
      </w:rPr>
    </w:lvl>
    <w:lvl w:ilvl="1" w:tplc="ADCAA73E" w:tentative="1">
      <w:start w:val="1"/>
      <w:numFmt w:val="bullet"/>
      <w:lvlText w:val="›"/>
      <w:lvlJc w:val="left"/>
      <w:pPr>
        <w:tabs>
          <w:tab w:val="num" w:pos="1440"/>
        </w:tabs>
        <w:ind w:left="1440" w:hanging="360"/>
      </w:pPr>
      <w:rPr>
        <w:rFonts w:ascii="Arial" w:hAnsi="Arial" w:hint="default"/>
      </w:rPr>
    </w:lvl>
    <w:lvl w:ilvl="2" w:tplc="6FAA4652" w:tentative="1">
      <w:start w:val="1"/>
      <w:numFmt w:val="bullet"/>
      <w:lvlText w:val="›"/>
      <w:lvlJc w:val="left"/>
      <w:pPr>
        <w:tabs>
          <w:tab w:val="num" w:pos="2160"/>
        </w:tabs>
        <w:ind w:left="2160" w:hanging="360"/>
      </w:pPr>
      <w:rPr>
        <w:rFonts w:ascii="Arial" w:hAnsi="Arial" w:hint="default"/>
      </w:rPr>
    </w:lvl>
    <w:lvl w:ilvl="3" w:tplc="1FEAA840" w:tentative="1">
      <w:start w:val="1"/>
      <w:numFmt w:val="bullet"/>
      <w:lvlText w:val="›"/>
      <w:lvlJc w:val="left"/>
      <w:pPr>
        <w:tabs>
          <w:tab w:val="num" w:pos="2880"/>
        </w:tabs>
        <w:ind w:left="2880" w:hanging="360"/>
      </w:pPr>
      <w:rPr>
        <w:rFonts w:ascii="Arial" w:hAnsi="Arial" w:hint="default"/>
      </w:rPr>
    </w:lvl>
    <w:lvl w:ilvl="4" w:tplc="3FBC8EA4" w:tentative="1">
      <w:start w:val="1"/>
      <w:numFmt w:val="bullet"/>
      <w:lvlText w:val="›"/>
      <w:lvlJc w:val="left"/>
      <w:pPr>
        <w:tabs>
          <w:tab w:val="num" w:pos="3600"/>
        </w:tabs>
        <w:ind w:left="3600" w:hanging="360"/>
      </w:pPr>
      <w:rPr>
        <w:rFonts w:ascii="Arial" w:hAnsi="Arial" w:hint="default"/>
      </w:rPr>
    </w:lvl>
    <w:lvl w:ilvl="5" w:tplc="9FE23DCE" w:tentative="1">
      <w:start w:val="1"/>
      <w:numFmt w:val="bullet"/>
      <w:lvlText w:val="›"/>
      <w:lvlJc w:val="left"/>
      <w:pPr>
        <w:tabs>
          <w:tab w:val="num" w:pos="4320"/>
        </w:tabs>
        <w:ind w:left="4320" w:hanging="360"/>
      </w:pPr>
      <w:rPr>
        <w:rFonts w:ascii="Arial" w:hAnsi="Arial" w:hint="default"/>
      </w:rPr>
    </w:lvl>
    <w:lvl w:ilvl="6" w:tplc="6A107DB4" w:tentative="1">
      <w:start w:val="1"/>
      <w:numFmt w:val="bullet"/>
      <w:lvlText w:val="›"/>
      <w:lvlJc w:val="left"/>
      <w:pPr>
        <w:tabs>
          <w:tab w:val="num" w:pos="5040"/>
        </w:tabs>
        <w:ind w:left="5040" w:hanging="360"/>
      </w:pPr>
      <w:rPr>
        <w:rFonts w:ascii="Arial" w:hAnsi="Arial" w:hint="default"/>
      </w:rPr>
    </w:lvl>
    <w:lvl w:ilvl="7" w:tplc="FB2C8A30" w:tentative="1">
      <w:start w:val="1"/>
      <w:numFmt w:val="bullet"/>
      <w:lvlText w:val="›"/>
      <w:lvlJc w:val="left"/>
      <w:pPr>
        <w:tabs>
          <w:tab w:val="num" w:pos="5760"/>
        </w:tabs>
        <w:ind w:left="5760" w:hanging="360"/>
      </w:pPr>
      <w:rPr>
        <w:rFonts w:ascii="Arial" w:hAnsi="Arial" w:hint="default"/>
      </w:rPr>
    </w:lvl>
    <w:lvl w:ilvl="8" w:tplc="F44E07E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2F0849"/>
    <w:multiLevelType w:val="hybridMultilevel"/>
    <w:tmpl w:val="2A1E1B76"/>
    <w:lvl w:ilvl="0" w:tplc="F400531A">
      <w:start w:val="1"/>
      <w:numFmt w:val="bullet"/>
      <w:lvlText w:val="›"/>
      <w:lvlJc w:val="left"/>
      <w:pPr>
        <w:tabs>
          <w:tab w:val="num" w:pos="720"/>
        </w:tabs>
        <w:ind w:left="720" w:hanging="360"/>
      </w:pPr>
      <w:rPr>
        <w:rFonts w:ascii="Arial" w:hAnsi="Arial" w:hint="default"/>
      </w:rPr>
    </w:lvl>
    <w:lvl w:ilvl="1" w:tplc="5FF2523E" w:tentative="1">
      <w:start w:val="1"/>
      <w:numFmt w:val="bullet"/>
      <w:lvlText w:val="›"/>
      <w:lvlJc w:val="left"/>
      <w:pPr>
        <w:tabs>
          <w:tab w:val="num" w:pos="1440"/>
        </w:tabs>
        <w:ind w:left="1440" w:hanging="360"/>
      </w:pPr>
      <w:rPr>
        <w:rFonts w:ascii="Arial" w:hAnsi="Arial" w:hint="default"/>
      </w:rPr>
    </w:lvl>
    <w:lvl w:ilvl="2" w:tplc="AC72466E" w:tentative="1">
      <w:start w:val="1"/>
      <w:numFmt w:val="bullet"/>
      <w:lvlText w:val="›"/>
      <w:lvlJc w:val="left"/>
      <w:pPr>
        <w:tabs>
          <w:tab w:val="num" w:pos="2160"/>
        </w:tabs>
        <w:ind w:left="2160" w:hanging="360"/>
      </w:pPr>
      <w:rPr>
        <w:rFonts w:ascii="Arial" w:hAnsi="Arial" w:hint="default"/>
      </w:rPr>
    </w:lvl>
    <w:lvl w:ilvl="3" w:tplc="5F001B26" w:tentative="1">
      <w:start w:val="1"/>
      <w:numFmt w:val="bullet"/>
      <w:lvlText w:val="›"/>
      <w:lvlJc w:val="left"/>
      <w:pPr>
        <w:tabs>
          <w:tab w:val="num" w:pos="2880"/>
        </w:tabs>
        <w:ind w:left="2880" w:hanging="360"/>
      </w:pPr>
      <w:rPr>
        <w:rFonts w:ascii="Arial" w:hAnsi="Arial" w:hint="default"/>
      </w:rPr>
    </w:lvl>
    <w:lvl w:ilvl="4" w:tplc="F36C29C8" w:tentative="1">
      <w:start w:val="1"/>
      <w:numFmt w:val="bullet"/>
      <w:lvlText w:val="›"/>
      <w:lvlJc w:val="left"/>
      <w:pPr>
        <w:tabs>
          <w:tab w:val="num" w:pos="3600"/>
        </w:tabs>
        <w:ind w:left="3600" w:hanging="360"/>
      </w:pPr>
      <w:rPr>
        <w:rFonts w:ascii="Arial" w:hAnsi="Arial" w:hint="default"/>
      </w:rPr>
    </w:lvl>
    <w:lvl w:ilvl="5" w:tplc="5F06EB10" w:tentative="1">
      <w:start w:val="1"/>
      <w:numFmt w:val="bullet"/>
      <w:lvlText w:val="›"/>
      <w:lvlJc w:val="left"/>
      <w:pPr>
        <w:tabs>
          <w:tab w:val="num" w:pos="4320"/>
        </w:tabs>
        <w:ind w:left="4320" w:hanging="360"/>
      </w:pPr>
      <w:rPr>
        <w:rFonts w:ascii="Arial" w:hAnsi="Arial" w:hint="default"/>
      </w:rPr>
    </w:lvl>
    <w:lvl w:ilvl="6" w:tplc="549C4628" w:tentative="1">
      <w:start w:val="1"/>
      <w:numFmt w:val="bullet"/>
      <w:lvlText w:val="›"/>
      <w:lvlJc w:val="left"/>
      <w:pPr>
        <w:tabs>
          <w:tab w:val="num" w:pos="5040"/>
        </w:tabs>
        <w:ind w:left="5040" w:hanging="360"/>
      </w:pPr>
      <w:rPr>
        <w:rFonts w:ascii="Arial" w:hAnsi="Arial" w:hint="default"/>
      </w:rPr>
    </w:lvl>
    <w:lvl w:ilvl="7" w:tplc="DB028FD6" w:tentative="1">
      <w:start w:val="1"/>
      <w:numFmt w:val="bullet"/>
      <w:lvlText w:val="›"/>
      <w:lvlJc w:val="left"/>
      <w:pPr>
        <w:tabs>
          <w:tab w:val="num" w:pos="5760"/>
        </w:tabs>
        <w:ind w:left="5760" w:hanging="360"/>
      </w:pPr>
      <w:rPr>
        <w:rFonts w:ascii="Arial" w:hAnsi="Arial" w:hint="default"/>
      </w:rPr>
    </w:lvl>
    <w:lvl w:ilvl="8" w:tplc="A404BD3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FA3E1B"/>
    <w:multiLevelType w:val="hybridMultilevel"/>
    <w:tmpl w:val="B268EC58"/>
    <w:lvl w:ilvl="0" w:tplc="913C51AE">
      <w:start w:val="1"/>
      <w:numFmt w:val="bullet"/>
      <w:lvlText w:val="›"/>
      <w:lvlJc w:val="left"/>
      <w:pPr>
        <w:tabs>
          <w:tab w:val="num" w:pos="720"/>
        </w:tabs>
        <w:ind w:left="720" w:hanging="360"/>
      </w:pPr>
      <w:rPr>
        <w:rFonts w:ascii="Arial" w:hAnsi="Arial" w:hint="default"/>
      </w:rPr>
    </w:lvl>
    <w:lvl w:ilvl="1" w:tplc="E74E3494" w:tentative="1">
      <w:start w:val="1"/>
      <w:numFmt w:val="bullet"/>
      <w:lvlText w:val="›"/>
      <w:lvlJc w:val="left"/>
      <w:pPr>
        <w:tabs>
          <w:tab w:val="num" w:pos="1440"/>
        </w:tabs>
        <w:ind w:left="1440" w:hanging="360"/>
      </w:pPr>
      <w:rPr>
        <w:rFonts w:ascii="Arial" w:hAnsi="Arial" w:hint="default"/>
      </w:rPr>
    </w:lvl>
    <w:lvl w:ilvl="2" w:tplc="715E968A" w:tentative="1">
      <w:start w:val="1"/>
      <w:numFmt w:val="bullet"/>
      <w:lvlText w:val="›"/>
      <w:lvlJc w:val="left"/>
      <w:pPr>
        <w:tabs>
          <w:tab w:val="num" w:pos="2160"/>
        </w:tabs>
        <w:ind w:left="2160" w:hanging="360"/>
      </w:pPr>
      <w:rPr>
        <w:rFonts w:ascii="Arial" w:hAnsi="Arial" w:hint="default"/>
      </w:rPr>
    </w:lvl>
    <w:lvl w:ilvl="3" w:tplc="C1E4D65A" w:tentative="1">
      <w:start w:val="1"/>
      <w:numFmt w:val="bullet"/>
      <w:lvlText w:val="›"/>
      <w:lvlJc w:val="left"/>
      <w:pPr>
        <w:tabs>
          <w:tab w:val="num" w:pos="2880"/>
        </w:tabs>
        <w:ind w:left="2880" w:hanging="360"/>
      </w:pPr>
      <w:rPr>
        <w:rFonts w:ascii="Arial" w:hAnsi="Arial" w:hint="default"/>
      </w:rPr>
    </w:lvl>
    <w:lvl w:ilvl="4" w:tplc="F9E2031A" w:tentative="1">
      <w:start w:val="1"/>
      <w:numFmt w:val="bullet"/>
      <w:lvlText w:val="›"/>
      <w:lvlJc w:val="left"/>
      <w:pPr>
        <w:tabs>
          <w:tab w:val="num" w:pos="3600"/>
        </w:tabs>
        <w:ind w:left="3600" w:hanging="360"/>
      </w:pPr>
      <w:rPr>
        <w:rFonts w:ascii="Arial" w:hAnsi="Arial" w:hint="default"/>
      </w:rPr>
    </w:lvl>
    <w:lvl w:ilvl="5" w:tplc="724E9B26" w:tentative="1">
      <w:start w:val="1"/>
      <w:numFmt w:val="bullet"/>
      <w:lvlText w:val="›"/>
      <w:lvlJc w:val="left"/>
      <w:pPr>
        <w:tabs>
          <w:tab w:val="num" w:pos="4320"/>
        </w:tabs>
        <w:ind w:left="4320" w:hanging="360"/>
      </w:pPr>
      <w:rPr>
        <w:rFonts w:ascii="Arial" w:hAnsi="Arial" w:hint="default"/>
      </w:rPr>
    </w:lvl>
    <w:lvl w:ilvl="6" w:tplc="8A1827E8" w:tentative="1">
      <w:start w:val="1"/>
      <w:numFmt w:val="bullet"/>
      <w:lvlText w:val="›"/>
      <w:lvlJc w:val="left"/>
      <w:pPr>
        <w:tabs>
          <w:tab w:val="num" w:pos="5040"/>
        </w:tabs>
        <w:ind w:left="5040" w:hanging="360"/>
      </w:pPr>
      <w:rPr>
        <w:rFonts w:ascii="Arial" w:hAnsi="Arial" w:hint="default"/>
      </w:rPr>
    </w:lvl>
    <w:lvl w:ilvl="7" w:tplc="5374D8D2" w:tentative="1">
      <w:start w:val="1"/>
      <w:numFmt w:val="bullet"/>
      <w:lvlText w:val="›"/>
      <w:lvlJc w:val="left"/>
      <w:pPr>
        <w:tabs>
          <w:tab w:val="num" w:pos="5760"/>
        </w:tabs>
        <w:ind w:left="5760" w:hanging="360"/>
      </w:pPr>
      <w:rPr>
        <w:rFonts w:ascii="Arial" w:hAnsi="Arial" w:hint="default"/>
      </w:rPr>
    </w:lvl>
    <w:lvl w:ilvl="8" w:tplc="83D4E6A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C036FA"/>
    <w:multiLevelType w:val="hybridMultilevel"/>
    <w:tmpl w:val="F23C8832"/>
    <w:lvl w:ilvl="0" w:tplc="B7D03A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8"/>
  </w:num>
  <w:num w:numId="2">
    <w:abstractNumId w:val="44"/>
  </w:num>
  <w:num w:numId="3">
    <w:abstractNumId w:val="21"/>
  </w:num>
  <w:num w:numId="4">
    <w:abstractNumId w:val="6"/>
  </w:num>
  <w:num w:numId="5">
    <w:abstractNumId w:val="45"/>
  </w:num>
  <w:num w:numId="6">
    <w:abstractNumId w:val="37"/>
  </w:num>
  <w:num w:numId="7">
    <w:abstractNumId w:val="31"/>
  </w:num>
  <w:num w:numId="8">
    <w:abstractNumId w:val="25"/>
  </w:num>
  <w:num w:numId="9">
    <w:abstractNumId w:val="13"/>
  </w:num>
  <w:num w:numId="10">
    <w:abstractNumId w:val="34"/>
  </w:num>
  <w:num w:numId="11">
    <w:abstractNumId w:val="20"/>
  </w:num>
  <w:num w:numId="12">
    <w:abstractNumId w:val="32"/>
  </w:num>
  <w:num w:numId="13">
    <w:abstractNumId w:val="30"/>
  </w:num>
  <w:num w:numId="14">
    <w:abstractNumId w:val="19"/>
  </w:num>
  <w:num w:numId="15">
    <w:abstractNumId w:val="10"/>
  </w:num>
  <w:num w:numId="16">
    <w:abstractNumId w:val="9"/>
  </w:num>
  <w:num w:numId="17">
    <w:abstractNumId w:val="39"/>
  </w:num>
  <w:num w:numId="18">
    <w:abstractNumId w:val="12"/>
  </w:num>
  <w:num w:numId="19">
    <w:abstractNumId w:val="3"/>
  </w:num>
  <w:num w:numId="20">
    <w:abstractNumId w:val="0"/>
  </w:num>
  <w:num w:numId="21">
    <w:abstractNumId w:val="35"/>
  </w:num>
  <w:num w:numId="22">
    <w:abstractNumId w:val="33"/>
  </w:num>
  <w:num w:numId="23">
    <w:abstractNumId w:val="4"/>
  </w:num>
  <w:num w:numId="24">
    <w:abstractNumId w:val="11"/>
  </w:num>
  <w:num w:numId="25">
    <w:abstractNumId w:val="8"/>
  </w:num>
  <w:num w:numId="26">
    <w:abstractNumId w:val="7"/>
  </w:num>
  <w:num w:numId="27">
    <w:abstractNumId w:val="18"/>
  </w:num>
  <w:num w:numId="28">
    <w:abstractNumId w:val="1"/>
  </w:num>
  <w:num w:numId="29">
    <w:abstractNumId w:val="14"/>
  </w:num>
  <w:num w:numId="30">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4"/>
  </w:num>
  <w:num w:numId="33">
    <w:abstractNumId w:val="17"/>
  </w:num>
  <w:num w:numId="34">
    <w:abstractNumId w:val="38"/>
  </w:num>
  <w:num w:numId="35">
    <w:abstractNumId w:val="27"/>
  </w:num>
  <w:num w:numId="36">
    <w:abstractNumId w:val="40"/>
  </w:num>
  <w:num w:numId="37">
    <w:abstractNumId w:val="41"/>
  </w:num>
  <w:num w:numId="38">
    <w:abstractNumId w:val="22"/>
  </w:num>
  <w:num w:numId="39">
    <w:abstractNumId w:val="16"/>
  </w:num>
  <w:num w:numId="40">
    <w:abstractNumId w:val="29"/>
  </w:num>
  <w:num w:numId="41">
    <w:abstractNumId w:val="26"/>
  </w:num>
  <w:num w:numId="42">
    <w:abstractNumId w:val="26"/>
    <w:lvlOverride w:ilvl="0">
      <w:startOverride w:val="1"/>
    </w:lvlOverride>
  </w:num>
  <w:num w:numId="43">
    <w:abstractNumId w:val="5"/>
  </w:num>
  <w:num w:numId="44">
    <w:abstractNumId w:val="23"/>
  </w:num>
  <w:num w:numId="45">
    <w:abstractNumId w:val="43"/>
  </w:num>
  <w:num w:numId="46">
    <w:abstractNumId w:val="36"/>
  </w:num>
  <w:num w:numId="47">
    <w:abstractNumId w:val="42"/>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284"/>
    <w:rsid w:val="000B27AE"/>
    <w:rsid w:val="000B2934"/>
    <w:rsid w:val="000B2D96"/>
    <w:rsid w:val="000B2E72"/>
    <w:rsid w:val="000B3155"/>
    <w:rsid w:val="000B38D8"/>
    <w:rsid w:val="000B3DDA"/>
    <w:rsid w:val="000B4256"/>
    <w:rsid w:val="000B44C0"/>
    <w:rsid w:val="000B502E"/>
    <w:rsid w:val="000B511B"/>
    <w:rsid w:val="000B59C0"/>
    <w:rsid w:val="000B5B12"/>
    <w:rsid w:val="000B5C5B"/>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30D"/>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5E8"/>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3DDE"/>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5967"/>
    <w:rsid w:val="0016741D"/>
    <w:rsid w:val="00167B2F"/>
    <w:rsid w:val="00167B96"/>
    <w:rsid w:val="00170500"/>
    <w:rsid w:val="00170CD8"/>
    <w:rsid w:val="0017116E"/>
    <w:rsid w:val="001713BA"/>
    <w:rsid w:val="0017181D"/>
    <w:rsid w:val="0017199C"/>
    <w:rsid w:val="00171E36"/>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1690"/>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656"/>
    <w:rsid w:val="001E07FA"/>
    <w:rsid w:val="001E145A"/>
    <w:rsid w:val="001E1580"/>
    <w:rsid w:val="001E1B51"/>
    <w:rsid w:val="001E1C44"/>
    <w:rsid w:val="001E207C"/>
    <w:rsid w:val="001E216A"/>
    <w:rsid w:val="001E23E1"/>
    <w:rsid w:val="001E37A0"/>
    <w:rsid w:val="001E3C3D"/>
    <w:rsid w:val="001E3D22"/>
    <w:rsid w:val="001E4985"/>
    <w:rsid w:val="001E5072"/>
    <w:rsid w:val="001E525A"/>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6EA"/>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36"/>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218B"/>
    <w:rsid w:val="00243667"/>
    <w:rsid w:val="002442C5"/>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3F91"/>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0D3"/>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6EA"/>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C7DD0"/>
    <w:rsid w:val="002C7F03"/>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782"/>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A9C"/>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47AC"/>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307"/>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08"/>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AE6"/>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136"/>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17"/>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2C9"/>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4B11"/>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5F3C"/>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6B90"/>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155"/>
    <w:rsid w:val="004F6B48"/>
    <w:rsid w:val="004F6B63"/>
    <w:rsid w:val="004F6C68"/>
    <w:rsid w:val="004F6F48"/>
    <w:rsid w:val="005002EF"/>
    <w:rsid w:val="0050031D"/>
    <w:rsid w:val="00500853"/>
    <w:rsid w:val="00500A67"/>
    <w:rsid w:val="00503219"/>
    <w:rsid w:val="00503713"/>
    <w:rsid w:val="00503B41"/>
    <w:rsid w:val="00503C05"/>
    <w:rsid w:val="00504BA5"/>
    <w:rsid w:val="00504D72"/>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A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25D"/>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1E0E"/>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5D"/>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7F5"/>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D0F"/>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05FE"/>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C98"/>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18D"/>
    <w:rsid w:val="007224C1"/>
    <w:rsid w:val="00722A2A"/>
    <w:rsid w:val="00722A2E"/>
    <w:rsid w:val="00722E0A"/>
    <w:rsid w:val="0072318D"/>
    <w:rsid w:val="00723314"/>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6AAD"/>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C2A"/>
    <w:rsid w:val="007F3E27"/>
    <w:rsid w:val="007F40D2"/>
    <w:rsid w:val="007F4345"/>
    <w:rsid w:val="007F4A03"/>
    <w:rsid w:val="007F4A0E"/>
    <w:rsid w:val="007F5525"/>
    <w:rsid w:val="007F569E"/>
    <w:rsid w:val="007F570E"/>
    <w:rsid w:val="007F5A0F"/>
    <w:rsid w:val="007F5CA0"/>
    <w:rsid w:val="007F5EB2"/>
    <w:rsid w:val="007F6173"/>
    <w:rsid w:val="007F6A2E"/>
    <w:rsid w:val="007F6CD2"/>
    <w:rsid w:val="007F7242"/>
    <w:rsid w:val="007F74B1"/>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309"/>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0F2"/>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2D08"/>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050"/>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D41"/>
    <w:rsid w:val="00941FE5"/>
    <w:rsid w:val="00942709"/>
    <w:rsid w:val="00942722"/>
    <w:rsid w:val="009427F4"/>
    <w:rsid w:val="0094281B"/>
    <w:rsid w:val="009428F4"/>
    <w:rsid w:val="00942E6C"/>
    <w:rsid w:val="009431F3"/>
    <w:rsid w:val="0094357F"/>
    <w:rsid w:val="00943C76"/>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6F35"/>
    <w:rsid w:val="00957150"/>
    <w:rsid w:val="00957A13"/>
    <w:rsid w:val="00957E93"/>
    <w:rsid w:val="00960924"/>
    <w:rsid w:val="00960D93"/>
    <w:rsid w:val="00961435"/>
    <w:rsid w:val="00961440"/>
    <w:rsid w:val="00961BA0"/>
    <w:rsid w:val="009626E7"/>
    <w:rsid w:val="00962AA3"/>
    <w:rsid w:val="00962BF6"/>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52"/>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9D5"/>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9A0"/>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827"/>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5E64"/>
    <w:rsid w:val="00A066FC"/>
    <w:rsid w:val="00A06BB6"/>
    <w:rsid w:val="00A06C5E"/>
    <w:rsid w:val="00A0750C"/>
    <w:rsid w:val="00A07551"/>
    <w:rsid w:val="00A0776B"/>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953"/>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2B55"/>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7EA"/>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473"/>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617"/>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857"/>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2625"/>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386"/>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615"/>
    <w:rsid w:val="00BF394D"/>
    <w:rsid w:val="00BF3C6C"/>
    <w:rsid w:val="00BF3D50"/>
    <w:rsid w:val="00BF3FF3"/>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C6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5E66"/>
    <w:rsid w:val="00C361F9"/>
    <w:rsid w:val="00C3646A"/>
    <w:rsid w:val="00C366A4"/>
    <w:rsid w:val="00C370CC"/>
    <w:rsid w:val="00C378D1"/>
    <w:rsid w:val="00C40084"/>
    <w:rsid w:val="00C4059A"/>
    <w:rsid w:val="00C40DF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3FD5"/>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9F"/>
    <w:rsid w:val="00D20F0E"/>
    <w:rsid w:val="00D2126F"/>
    <w:rsid w:val="00D213E7"/>
    <w:rsid w:val="00D21574"/>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1FC4"/>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D31"/>
    <w:rsid w:val="00D62F71"/>
    <w:rsid w:val="00D6300C"/>
    <w:rsid w:val="00D6301A"/>
    <w:rsid w:val="00D63149"/>
    <w:rsid w:val="00D632CA"/>
    <w:rsid w:val="00D6427F"/>
    <w:rsid w:val="00D644E7"/>
    <w:rsid w:val="00D64A01"/>
    <w:rsid w:val="00D64AB1"/>
    <w:rsid w:val="00D651C9"/>
    <w:rsid w:val="00D6599C"/>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87C"/>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32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146"/>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E68"/>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0D3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989"/>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57EBE"/>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4C4"/>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5AA"/>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5AA"/>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AF4"/>
    <w:rsid w:val="00F57C3C"/>
    <w:rsid w:val="00F606D7"/>
    <w:rsid w:val="00F6083C"/>
    <w:rsid w:val="00F60B53"/>
    <w:rsid w:val="00F60F1F"/>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441"/>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6D38"/>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9D1"/>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214A50"/>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rsid w:val="009A1A33"/>
    <w:rPr>
      <w:sz w:val="16"/>
      <w:szCs w:val="16"/>
    </w:rPr>
  </w:style>
  <w:style w:type="paragraph" w:styleId="CommentText">
    <w:name w:val="annotation text"/>
    <w:basedOn w:val="Normal"/>
    <w:link w:val="CommentTextChar1"/>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AAD"/>
    <w:rPr>
      <w:rFonts w:ascii="Arial" w:eastAsia="MS Mincho" w:hAnsi="Arial"/>
      <w:b/>
      <w:szCs w:val="24"/>
    </w:rPr>
  </w:style>
  <w:style w:type="paragraph" w:customStyle="1" w:styleId="CRCoverPage">
    <w:name w:val="CR Cover Page"/>
    <w:rsid w:val="00BD3386"/>
    <w:pPr>
      <w:spacing w:after="120"/>
    </w:pPr>
    <w:rPr>
      <w:rFonts w:ascii="Arial" w:hAnsi="Arial"/>
      <w:lang w:val="en-GB"/>
    </w:rPr>
  </w:style>
  <w:style w:type="paragraph" w:customStyle="1" w:styleId="3GPPHeader">
    <w:name w:val="3GPP_Header"/>
    <w:basedOn w:val="Normal"/>
    <w:qFormat/>
    <w:rsid w:val="00D7587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8287837">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21041">
      <w:bodyDiv w:val="1"/>
      <w:marLeft w:val="0"/>
      <w:marRight w:val="0"/>
      <w:marTop w:val="0"/>
      <w:marBottom w:val="0"/>
      <w:divBdr>
        <w:top w:val="none" w:sz="0" w:space="0" w:color="auto"/>
        <w:left w:val="none" w:sz="0" w:space="0" w:color="auto"/>
        <w:bottom w:val="none" w:sz="0" w:space="0" w:color="auto"/>
        <w:right w:val="none" w:sz="0" w:space="0" w:color="auto"/>
      </w:divBdr>
    </w:div>
    <w:div w:id="565730052">
      <w:bodyDiv w:val="1"/>
      <w:marLeft w:val="0"/>
      <w:marRight w:val="0"/>
      <w:marTop w:val="0"/>
      <w:marBottom w:val="0"/>
      <w:divBdr>
        <w:top w:val="none" w:sz="0" w:space="0" w:color="auto"/>
        <w:left w:val="none" w:sz="0" w:space="0" w:color="auto"/>
        <w:bottom w:val="none" w:sz="0" w:space="0" w:color="auto"/>
        <w:right w:val="none" w:sz="0" w:space="0" w:color="auto"/>
      </w:divBdr>
      <w:divsChild>
        <w:div w:id="2020231434">
          <w:marLeft w:val="274"/>
          <w:marRight w:val="0"/>
          <w:marTop w:val="115"/>
          <w:marBottom w:val="0"/>
          <w:divBdr>
            <w:top w:val="none" w:sz="0" w:space="0" w:color="auto"/>
            <w:left w:val="none" w:sz="0" w:space="0" w:color="auto"/>
            <w:bottom w:val="none" w:sz="0" w:space="0" w:color="auto"/>
            <w:right w:val="none" w:sz="0" w:space="0" w:color="auto"/>
          </w:divBdr>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03893619">
      <w:bodyDiv w:val="1"/>
      <w:marLeft w:val="0"/>
      <w:marRight w:val="0"/>
      <w:marTop w:val="0"/>
      <w:marBottom w:val="0"/>
      <w:divBdr>
        <w:top w:val="none" w:sz="0" w:space="0" w:color="auto"/>
        <w:left w:val="none" w:sz="0" w:space="0" w:color="auto"/>
        <w:bottom w:val="none" w:sz="0" w:space="0" w:color="auto"/>
        <w:right w:val="none" w:sz="0" w:space="0" w:color="auto"/>
      </w:divBdr>
      <w:divsChild>
        <w:div w:id="2029404212">
          <w:marLeft w:val="274"/>
          <w:marRight w:val="0"/>
          <w:marTop w:val="96"/>
          <w:marBottom w:val="0"/>
          <w:divBdr>
            <w:top w:val="none" w:sz="0" w:space="0" w:color="auto"/>
            <w:left w:val="none" w:sz="0" w:space="0" w:color="auto"/>
            <w:bottom w:val="none" w:sz="0" w:space="0" w:color="auto"/>
            <w:right w:val="none" w:sz="0" w:space="0" w:color="auto"/>
          </w:divBdr>
        </w:div>
      </w:divsChild>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64516440">
      <w:bodyDiv w:val="1"/>
      <w:marLeft w:val="0"/>
      <w:marRight w:val="0"/>
      <w:marTop w:val="0"/>
      <w:marBottom w:val="0"/>
      <w:divBdr>
        <w:top w:val="none" w:sz="0" w:space="0" w:color="auto"/>
        <w:left w:val="none" w:sz="0" w:space="0" w:color="auto"/>
        <w:bottom w:val="none" w:sz="0" w:space="0" w:color="auto"/>
        <w:right w:val="none" w:sz="0" w:space="0" w:color="auto"/>
      </w:divBdr>
      <w:divsChild>
        <w:div w:id="2068455904">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09922719">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51750108">
      <w:bodyDiv w:val="1"/>
      <w:marLeft w:val="0"/>
      <w:marRight w:val="0"/>
      <w:marTop w:val="0"/>
      <w:marBottom w:val="0"/>
      <w:divBdr>
        <w:top w:val="none" w:sz="0" w:space="0" w:color="auto"/>
        <w:left w:val="none" w:sz="0" w:space="0" w:color="auto"/>
        <w:bottom w:val="none" w:sz="0" w:space="0" w:color="auto"/>
        <w:right w:val="none" w:sz="0" w:space="0" w:color="auto"/>
      </w:divBdr>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57984143">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08401467">
      <w:bodyDiv w:val="1"/>
      <w:marLeft w:val="0"/>
      <w:marRight w:val="0"/>
      <w:marTop w:val="0"/>
      <w:marBottom w:val="0"/>
      <w:divBdr>
        <w:top w:val="none" w:sz="0" w:space="0" w:color="auto"/>
        <w:left w:val="none" w:sz="0" w:space="0" w:color="auto"/>
        <w:bottom w:val="none" w:sz="0" w:space="0" w:color="auto"/>
        <w:right w:val="none" w:sz="0" w:space="0" w:color="auto"/>
      </w:divBdr>
    </w:div>
    <w:div w:id="1820422449">
      <w:bodyDiv w:val="1"/>
      <w:marLeft w:val="0"/>
      <w:marRight w:val="0"/>
      <w:marTop w:val="0"/>
      <w:marBottom w:val="0"/>
      <w:divBdr>
        <w:top w:val="none" w:sz="0" w:space="0" w:color="auto"/>
        <w:left w:val="none" w:sz="0" w:space="0" w:color="auto"/>
        <w:bottom w:val="none" w:sz="0" w:space="0" w:color="auto"/>
        <w:right w:val="none" w:sz="0" w:space="0" w:color="auto"/>
      </w:divBdr>
      <w:divsChild>
        <w:div w:id="847258209">
          <w:marLeft w:val="274"/>
          <w:marRight w:val="0"/>
          <w:marTop w:val="96"/>
          <w:marBottom w:val="0"/>
          <w:divBdr>
            <w:top w:val="none" w:sz="0" w:space="0" w:color="auto"/>
            <w:left w:val="none" w:sz="0" w:space="0" w:color="auto"/>
            <w:bottom w:val="none" w:sz="0" w:space="0" w:color="auto"/>
            <w:right w:val="none" w:sz="0" w:space="0" w:color="auto"/>
          </w:divBdr>
        </w:div>
      </w:divsChild>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52390905">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76928293">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_dlc_DocId xmlns="f166a696-7b5b-4ccd-9f0c-ffde0cceec81">5NUHHDQN7SK2-1476151046-17044</_dlc_DocId>
    <TaxCatchAll xmlns="d8762117-8292-4133-b1c7-eab5c6487cfd"/>
    <_dlc_DocIdUrl xmlns="f166a696-7b5b-4ccd-9f0c-ffde0cceec81">
      <Url>https://ericsson.sharepoint.com/sites/star/_layouts/15/DocIdRedir.aspx?ID=5NUHHDQN7SK2-1476151046-17044</Url>
      <Description>5NUHHDQN7SK2-1476151046-17044</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FDAD0F-5710-457A-839F-D66361E7230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DA41F3E2-AAEB-4D36-B9BC-A832EB6FCEB3}">
  <ds:schemaRefs>
    <ds:schemaRef ds:uri="http://schemas.microsoft.com/sharepoint/v3/contenttype/forms"/>
  </ds:schemaRefs>
</ds:datastoreItem>
</file>

<file path=customXml/itemProps3.xml><?xml version="1.0" encoding="utf-8"?>
<ds:datastoreItem xmlns:ds="http://schemas.openxmlformats.org/officeDocument/2006/customXml" ds:itemID="{B9E279F0-FE18-4F8C-81DC-DB2A32813F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F4CD92-9660-4CFC-9B1F-4B553C61CFB1}">
  <ds:schemaRefs>
    <ds:schemaRef ds:uri="http://schemas.microsoft.com/sharepoint/events"/>
  </ds:schemaRefs>
</ds:datastoreItem>
</file>

<file path=customXml/itemProps5.xml><?xml version="1.0" encoding="utf-8"?>
<ds:datastoreItem xmlns:ds="http://schemas.openxmlformats.org/officeDocument/2006/customXml" ds:itemID="{3895F18B-E367-4D99-95AD-E26129CF9DB6}">
  <ds:schemaRefs>
    <ds:schemaRef ds:uri="Microsoft.SharePoint.Taxonomy.ContentTypeSync"/>
  </ds:schemaRefs>
</ds:datastoreItem>
</file>

<file path=customXml/itemProps6.xml><?xml version="1.0" encoding="utf-8"?>
<ds:datastoreItem xmlns:ds="http://schemas.openxmlformats.org/officeDocument/2006/customXml" ds:itemID="{A5FBBDDC-2643-4F25-B6C1-AD7235AB0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945</Words>
  <Characters>5393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Reem Karaki</cp:lastModifiedBy>
  <cp:revision>10</cp:revision>
  <dcterms:created xsi:type="dcterms:W3CDTF">2018-02-07T00:13:00Z</dcterms:created>
  <dcterms:modified xsi:type="dcterms:W3CDTF">2018-04-06T13:55:00Z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d6440da1-fe3d-45b5-a29b-744aca78c97d</vt:lpwstr>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
  </property>
  <property fmtid="{D5CDD505-2E9C-101B-9397-08002B2CF9AE}" pid="6" name="EriCOLLOrganizationUnit">
    <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URL">
    <vt:lpwstr/>
  </property>
  <property fmtid="{D5CDD505-2E9C-101B-9397-08002B2CF9AE}" pid="14" name="Comments">
    <vt:lpwstr/>
  </property>
</Properties>
</file>